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D9" w:rsidRDefault="003663D9" w:rsidP="008E3D0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p w:rsidR="003663D9" w:rsidRPr="003663D9" w:rsidRDefault="003663D9" w:rsidP="003663D9">
      <w:pPr>
        <w:widowControl w:val="0"/>
        <w:tabs>
          <w:tab w:val="left" w:pos="860"/>
        </w:tabs>
        <w:spacing w:after="0" w:line="240" w:lineRule="auto"/>
        <w:ind w:right="40"/>
        <w:jc w:val="right"/>
        <w:rPr>
          <w:rFonts w:ascii="Times New Roman" w:eastAsia="Times New Roman" w:hAnsi="Times New Roman" w:cs="Times New Roman"/>
          <w:i/>
        </w:rPr>
      </w:pPr>
      <w:r w:rsidRPr="003663D9">
        <w:rPr>
          <w:rFonts w:ascii="Times New Roman" w:eastAsia="Times New Roman" w:hAnsi="Times New Roman" w:cs="Times New Roman"/>
          <w:i/>
        </w:rPr>
        <w:t>Приложение</w:t>
      </w:r>
    </w:p>
    <w:p w:rsidR="003663D9" w:rsidRDefault="003663D9" w:rsidP="003663D9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3663D9">
        <w:rPr>
          <w:rFonts w:ascii="Times New Roman" w:eastAsia="Times New Roman" w:hAnsi="Times New Roman" w:cs="Times New Roman"/>
          <w:i/>
        </w:rPr>
        <w:t>к  письму от «___»_______________2021г. № _____</w:t>
      </w:r>
    </w:p>
    <w:p w:rsidR="003663D9" w:rsidRDefault="003663D9" w:rsidP="001D45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E7C06" w:rsidRDefault="00EE7C06" w:rsidP="003663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663D9" w:rsidRDefault="003663D9" w:rsidP="003663D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3663D9">
        <w:rPr>
          <w:rFonts w:ascii="Times New Roman" w:hAnsi="Times New Roman"/>
          <w:b/>
          <w:sz w:val="28"/>
          <w:szCs w:val="28"/>
        </w:rPr>
        <w:t>Анализ</w:t>
      </w:r>
    </w:p>
    <w:p w:rsidR="003663D9" w:rsidRPr="003663D9" w:rsidRDefault="003663D9" w:rsidP="003663D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663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состояния</w:t>
      </w:r>
      <w:r w:rsidRPr="003663D9">
        <w:rPr>
          <w:rFonts w:ascii="Times New Roman" w:hAnsi="Times New Roman"/>
          <w:b/>
          <w:sz w:val="28"/>
          <w:szCs w:val="28"/>
        </w:rPr>
        <w:t xml:space="preserve"> детского дорожно-транспортного травматизма 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территории оперативного обслуживания ОГИБД</w:t>
      </w:r>
      <w:r w:rsidR="001D45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</w:t>
      </w:r>
      <w:r w:rsid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МО МВД России «Заречный» за  11</w:t>
      </w:r>
      <w:r w:rsidR="00D641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месяцев</w:t>
      </w:r>
      <w:r w:rsidRPr="003663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2021 года</w:t>
      </w:r>
    </w:p>
    <w:p w:rsidR="003663D9" w:rsidRPr="003663D9" w:rsidRDefault="003663D9" w:rsidP="003663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11 месяцев 2021 года на территории обслуживаемой ОГИБДД МО МВД России «Заречный» дорожно-транспортных происшествий с участием несовершеннолетних в возрасте до 16 лет зарегистрировано 13 ДТП </w:t>
      </w:r>
      <w:r w:rsidRPr="00EE7C0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(12; +8%).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Белоярского городского округа за 11 месяцев 2021 года с участием детей до 16 лет зарегистрировано 6 ДТП </w:t>
      </w:r>
      <w:r w:rsidRPr="00EE7C0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(9; -33%),</w:t>
      </w: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которых пострадали 6 детей (4 ребенка – пассажира, 1 ребенок-велосипедист, 1 ребенок-пешеход погиб).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городского округа Заречный за 11 месяцев 2021 года с участием детей до 16 лет зарегистрировано 7 ДТП </w:t>
      </w:r>
      <w:r w:rsidRPr="00EE7C0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(3; + 133%)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которых 2 ребенка - пассажиры погибли, травмы получили 5-детей-пешеходов, 1 ребенок пассажир получил травмы.</w:t>
      </w:r>
    </w:p>
    <w:p w:rsid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территории городского округа Верхнее Дуброво за 11 месяцев 2021 года ДТП не  зарегистрировано (0). </w:t>
      </w:r>
    </w:p>
    <w:p w:rsid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20.02.2021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13 асов 15 минут на 63 км + 820 м федеральной автодороги «Екатеринбург – Шадринск – Курган» водитель автомобиля «Хендэ Акцент», при выезде со второстепенной дороги не уступил право проезда 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транспортному средству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имеющему преимущество в движении «Лада Калина». В результате ДТП пострадал 15-летний пассажир автомобиля «Лада Калина». Ребенок перевозился без нарушений.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7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01.05.2021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19:10 по адресу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п.Белоярский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Ленина, 310 Водитель 1991 года рождения (29 лет), двигаясь по автодороге ул. Февральская в сторону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г.Асбест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подъезжая к регулируемом перекрестку допустил наезд на пешехода </w:t>
      </w:r>
    </w:p>
    <w:p w:rsidR="00EE7C06" w:rsidRPr="00EE7C06" w:rsidRDefault="00EE7C06" w:rsidP="00EE7C0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2006 (15лет), которая пересекала на велосипеде проезжую часть дороги слева направо по ходу движения автомобиля. Ранена несовершеннолетняя велосипедистка 2006 (15лет) пешеход. В результате ДТП получила травмы: Ушибы колен, ушиб грудной клетки, ссадина правого плеча.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ребенка.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06">
        <w:rPr>
          <w:rFonts w:ascii="Times New Roman" w:eastAsia="Calibri" w:hAnsi="Times New Roman" w:cs="Times New Roman"/>
          <w:b/>
          <w:sz w:val="28"/>
          <w:szCs w:val="28"/>
        </w:rPr>
        <w:t>31 июля 2021 года</w:t>
      </w:r>
      <w:r w:rsidRPr="00EE7C06">
        <w:rPr>
          <w:rFonts w:ascii="Times New Roman" w:eastAsia="Calibri" w:hAnsi="Times New Roman" w:cs="Times New Roman"/>
          <w:sz w:val="28"/>
          <w:szCs w:val="28"/>
        </w:rPr>
        <w:t>, в 23 часа 00 минут на 23 км федеральной автодороги «Екатеринбург –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</w:rPr>
        <w:t>Тюмень</w:t>
      </w:r>
      <w:proofErr w:type="gramStart"/>
      <w:r w:rsidRPr="00EE7C06">
        <w:rPr>
          <w:rFonts w:ascii="Times New Roman" w:eastAsia="Calibri" w:hAnsi="Times New Roman" w:cs="Times New Roman"/>
          <w:sz w:val="28"/>
          <w:szCs w:val="28"/>
        </w:rPr>
        <w:t>»,по</w:t>
      </w:r>
      <w:proofErr w:type="spellEnd"/>
      <w:proofErr w:type="gramEnd"/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 предварительной информации, водитель автомобиля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«Ниссан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двигаясь по автодороге со стороны города Екатеринбург в сторону поселка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Режик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допустила съезд с проезжей части с последующим наездом на препятствие (дерево) в результате происшествия на месте погибли две женщины три человека в том числе ребенок 2012 года рождения получили травмы. </w:t>
      </w:r>
    </w:p>
    <w:p w:rsidR="00EE7C06" w:rsidRPr="00EE7C06" w:rsidRDefault="00EE7C06" w:rsidP="00EE7C06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C06">
        <w:rPr>
          <w:rFonts w:ascii="Times New Roman" w:eastAsia="Calibri" w:hAnsi="Times New Roman" w:cs="Times New Roman"/>
          <w:sz w:val="28"/>
          <w:szCs w:val="28"/>
        </w:rPr>
        <w:t xml:space="preserve">В результате дорожно-транспортного происшествия погибли 45-летняя женщина пассажир находилась на заднем пассажирском сидении справа и 37 </w:t>
      </w:r>
      <w:r w:rsidRPr="00EE7C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летняя женщина пассажир находилась на переднем пассажирском сидении, ранения получили 47-летняя водитель (стаж управления 10 лет), 47-летний и 9-летний ребенок пассажир автомобиля </w:t>
      </w:r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«Ниссан </w:t>
      </w:r>
      <w:proofErr w:type="spellStart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>Тиида</w:t>
      </w:r>
      <w:proofErr w:type="spellEnd"/>
      <w:r w:rsidRPr="00EE7C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EE7C06">
        <w:rPr>
          <w:rFonts w:ascii="Times New Roman" w:eastAsia="Calibri" w:hAnsi="Times New Roman" w:cs="Times New Roman"/>
          <w:sz w:val="28"/>
          <w:szCs w:val="28"/>
        </w:rPr>
        <w:t>Пострадавший ребенок, находился на заднем пассажирском сидении по середине, пристегнут штатным ремнем безопасности. Ребенок перевозился без нарушений Правил дорожного движения. Все были пристегнуты штатным ремнем безопасности.  </w:t>
      </w:r>
      <w:r w:rsidRPr="00EE7C06">
        <w:rPr>
          <w:rFonts w:ascii="Times New Roman" w:eastAsia="Calibri" w:hAnsi="Times New Roman" w:cs="Times New Roman"/>
          <w:b/>
          <w:sz w:val="28"/>
          <w:szCs w:val="28"/>
        </w:rPr>
        <w:t>ДТП произошло по вине водителя автомобиля «Ниссан</w:t>
      </w:r>
      <w:proofErr w:type="gramStart"/>
      <w:r w:rsidRPr="00EE7C06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Pr="00EE7C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04.08.2021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19 часов 45 минут на 8 км + 530 м региональной  автодороги «Белоярский-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Белореченский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Кочневское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» по улице Уральская возле дома 22 водитель автомобиля «Ваз-21053» с государственным регистрационным знаком Х320ОК66, Масленникова Виктора Владимировича, 08.08.1958 года рождения, двигаясь со стороны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с.Кочневское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п. Белоярский, при пересечении нерегулируемого пешеходного перехода не предоставил преимущество в движении, совершил наезд на несовершеннолетнего пешехода, Степанова Богдана Юрьевича 23.11.2011 года рождения (9 лет).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 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27.08.2021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11 часов 30 минут на 65 км + 450 м федеральной автодороги «Екатеринбург – Тюмень»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Скания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Николюк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Александра Афанасьевич, 28.09.1961 года рождения при движении со стороны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г.Тюмень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в сторону г. Екатеринбург не выбрал безопасную дистанцию до впереди движущегося автомобиля в результате чего допустил столкновение спереди движущимся автомобилем «Лада Гранта» г/н Н861ОВ196 под управлением Новикова Артема Владимировича 12.03.2001 года рождения.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29.08.2021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года в 15 часов на 41 км + 600 м федеральной автодороги «Екатеринбург – Шадринск – Курган» водитель автомобиля «Опель Астра»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Тишковец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Фирдаусовна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31.08.1981 года рождения, при выполнении маневра разворот не убедилась в безопасности выполнения маневра в результате чего допустила столкновение с попутно движущимся автомобилем «ВАЗ-21154» г/н Р947НР96 под управлением водителя Михайлова Алексея Владимирович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, 26.02.1978 года рождения, который двигался со стороны г. Екатеринбург в сторону г. Каменск – Уральский.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ДТП произошло по вине водителя автомобиля.</w:t>
      </w: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состояния детского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дорожно-транспортного травматизма</w:t>
      </w:r>
    </w:p>
    <w:p w:rsidR="00EE7C06" w:rsidRPr="00EE7C06" w:rsidRDefault="00EE7C06" w:rsidP="00EE7C06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>на территории Свердловской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EE7C0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месяцев 2021 года</w:t>
      </w:r>
    </w:p>
    <w:p w:rsidR="00EE7C06" w:rsidRPr="00EE7C06" w:rsidRDefault="00EE7C06" w:rsidP="00EE7C06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7C06" w:rsidRPr="00EE7C06" w:rsidRDefault="00EE7C06" w:rsidP="00EE7C06">
      <w:pPr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-654050</wp:posOffset>
            </wp:positionH>
            <wp:positionV relativeFrom="paragraph">
              <wp:posOffset>216535</wp:posOffset>
            </wp:positionV>
            <wp:extent cx="3035935" cy="3371215"/>
            <wp:effectExtent l="3175" t="0" r="0" b="317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7" name="Диаграмма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Свердловской области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 десять месяцев 2021 г. зарегистрировано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310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(265; +16,5%) ДТП с участием несовершеннолетних, в которых 325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(297; +9%) детей получили травмы различной степени тяжести и погиб 21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(3; +600%).</w:t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Дорожно-транспортные происшествия, в результате которых пострадали дети, составили 13% от общего количества учетных дорожных аварий. Таким образом, дети стали участниками каждого 7 ДТП с пострадавшими в регионе.</w:t>
      </w:r>
    </w:p>
    <w:p w:rsidR="00EE7C06" w:rsidRPr="00EE7C06" w:rsidRDefault="00EE7C06" w:rsidP="00EE7C06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ДТП с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погибшими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детьми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зарегистрированы в Екатеринбурге 6 (+100%), Каменске-Уральском3(+100%),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Ивделе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Серове и Заречном по 2 (+100%),Березовском, Первоуральске и Реже по 1 (+100%):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02.01.2021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около 15 часов в </w:t>
      </w:r>
      <w:proofErr w:type="spellStart"/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Каменском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городском</w:t>
      </w:r>
      <w:proofErr w:type="spellEnd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округе, с. </w:t>
      </w:r>
      <w:proofErr w:type="spellStart"/>
      <w:proofErr w:type="gramStart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Рыбниковское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зона обслуживания МО МВД России «Каменск-Уральский»)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напротив дома №22 по ул.  Советская, водитель автомобиля «Митсубиси ASX» допустил наезд на 2-х летнего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автомобиля.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От полученных травм мальчик скончался на месте происшествия.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Погибший находился в сопровождении 14-летней сестры</w:t>
      </w:r>
      <w:r w:rsidRPr="00EE7C0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и еще троих</w:t>
      </w:r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детей. После прогулки у озера ребята возвращались домой. Двигались по краю проезжей части навстречу движению. Заметив приближающийся автомобиль, дети остановились, сестра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>Световозвращающие</w:t>
      </w:r>
      <w:proofErr w:type="spellEnd"/>
      <w:r w:rsidRPr="00EE7C06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элементы на одежде детей отсутствовали.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07.02.2021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около 10.00 часов в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Ивдельском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районе на 116 км автодороги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-ХМАО (зона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») водитель автомобиля «Тойота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ЛендКрузер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при совершении обгона не убедился в безопасности маневра, не учел погодные условия (метель), допустил столкновение с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Сид», который двигался во встречном направлении.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В результате ДТП погибла 8 –летняя девочка, пассажир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сидении. Ее 10 летняя сестра, в момент аварии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сиделарядом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, скончалась во время транспортировки в лечебное учреждение. В автомобиле девочки находились вместе с родителями, все были пристегнуты ремнями безопасности. Семья направлялась из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Югорска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в Екатеринбург на отдых. Водитель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 не приходя в сознание.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lastRenderedPageBreak/>
        <w:t>03.</w:t>
      </w: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03.2021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около 10.00 часов на 88 км автодороги Серов – Сосьва – </w:t>
      </w:r>
      <w:proofErr w:type="gram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Гари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</w:t>
      </w:r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Серовский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»)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Камаз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br/>
        <w:t>автомобиля «Рено», от полученных травм скончался во время транспортировки в лечебное учреждение, не приходя в сознание. В момент аварии мальчик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 родители забрали ребенка из детского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сада, пояснив воспитателю, что им необходимо ехать в г. Серов к стоматологу.  При этом никто не обратил внимание на плохие погодные условия (снегопад). Автомобилем «Рено» управлял глава семьи, во время движения в салоне находилась семья из четырех человек. 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14.03.2021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около 19.00 в Заречном районе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на 48 км автодороги «Екатеринбург-Тюмень» (зона обслуживания МО МВД России «Заречный»),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Киа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», не справился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 легкового автомобиля, из них двое –несовершеннолетние, девочка 11 лет и мальчик 15 лет, получили травмы, несовместимые с жизнью и скончались на месте происшествия до прибытия бригады скорой медицинской помощи. В момент ДТП дети находились на заднем пассажирском сидении и не были пристегнуты ремнями безопасности.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Несовершеннолетние со своими законными представителями направлялись домой после отдыха на горячих источниках в г. Тюмень.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23.03.2021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около 17.00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вг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. Екатеринбурге на пр. Космонавтов, напротив дома №92, в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одитель автомобиля «Ниссан» допустил наезд на 9 летнюю девочку -пешехода, которая перебегала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шести полосную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несовершеннолетний пешеход получил травмы несовместимые с жизнью, скончался в автомобиле скорой медицинской помощи.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11.04.2021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водитель автомобиля «Форд Мондео» не выдержал безопасную дистанцию и допустил столкновение с попутно движущимся автомобилем «Форд Орион», который после удара выехал за пределы проезжей части и наехал на препятствие в виде дерева. После сильнейших ударов 2-летний пассажир автомобиля «Форд Орион», находящийся на заднем пассажирском сидении в детском удерживающем устройстве, соответствующем росту и весу ребенка и не пристегнутый плечевыми лямками пятиточечного ремня безопасности в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автокресле,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не приходя в сознание.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 устройстве, он травм не получил.  Мать погибшего пояснила, что ранее старший сын снимал уже плечевые лямки и она делала ребенку замечания, но в этот раз не заметила.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 xml:space="preserve">10.05.2021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lastRenderedPageBreak/>
        <w:t xml:space="preserve">грузовым фургоном «Фиат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Дукато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безопасности, в 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13.05.2021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Солярис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спустя три часа скончалась в лечебном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учреждении, не приходя в сознание. Вторая девочка с закрытой черепно-мозговой травмой, ушибами головы и конечностей госпитализирована. Установлено, что несовершеннолетние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23.05.2021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Серовский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городской округ,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г. Екатеринбурга, где на четвертые сутки скончался, не приходя в сознание. Ребенок попросил у отчима мопед, чтобы прокатиться по поселку. Отчим разрешил, при этом мужчина не знал, что несовершеннолетнему нельзя управлять мопедом. В момент ДТП защитной экипировки 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27.05.2021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00.30 часов в Екатеринбурге на 9 км дублера Сибирского тракта 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», двигаясь со стороны г. Тюмень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9-летний мальчик-пассажир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», с переломом основания черепа, закрытой черепно-мозговой травмой госпитализирован в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br/>
        <w:t xml:space="preserve">9 ДГКБ, где на 7 сутки скончался. В момент ДТП ребенок находился на заднем пассажирском сидении 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Альмера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» - отец ребенка, пояснил, что во время движения отвлекся на сына, из-за чего не заметил стоящий автомобиль.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12.06.2021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11.30 часов в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Ивдельском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-ХМАО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(зона обслуживания МО МВД России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Ивдельский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»)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Кашкай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» по неустановленной причине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ДжилиКулрэй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Кашкай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дети находились в сопровождении родственников, которые также погибли. Еще одна 15-летняя девочка-пассажир этого </w:t>
      </w:r>
      <w:proofErr w:type="spellStart"/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автомобиля,в</w:t>
      </w:r>
      <w:proofErr w:type="spellEnd"/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тяжелом состоянии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госпитализирована в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lastRenderedPageBreak/>
        <w:t xml:space="preserve">больницу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г.Ивдель.В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момент аварии все были пристегнуты ремнями безопасности.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Семья направлялась на отдых.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03.07.2021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19.00 часов в Первоуральском районе на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8 км подъездной автодороги к озеру Глухое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водитель автомобиля "Фиат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Дукато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04.08.2021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20.00 часов по адресу: Белоярский район, поселок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Белореченский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, ул. Уральская, напротив дома №22, нетрезвый водитель автомобиля «Ваз 21053» 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кювет. В результате ДТП на месте погиб 9-летний мальчик-пешеход. Еще один пешеход, отец ребенка, серьезных травм не получил, за медицинской помощью не обращался.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Отец мальчика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Водитель дать какие-либо пояснения по факту ДТП не смог из-за сильнейшего опьянения.</w:t>
      </w:r>
    </w:p>
    <w:p w:rsidR="00EE7C06" w:rsidRPr="00EE7C06" w:rsidRDefault="00EE7C06" w:rsidP="00EE7C06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 w:rsidRPr="00EE7C06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18.08.2021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около 21.00 часов по адресу: г. Каменск-Уральский, ул. Пушкина, напротив дома №1, водитель автомобиля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val="en-US"/>
        </w:rPr>
        <w:t>MazdaCX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-5» допустил наезд на двух пешеходов,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8-летнюю девочку и её 69-летнюю бабушку, которые переходили проезжую часть дороги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/>
        </w:rPr>
        <w:t>RenaultDuster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». В результате ДТП пешеходы от полученных травм скончались на месте ДТП до приезда скорой медицинской помощи.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Установлено,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</w:t>
      </w:r>
      <w:proofErr w:type="spellStart"/>
      <w:proofErr w:type="gram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дома.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В</w:t>
      </w:r>
      <w:proofErr w:type="spellEnd"/>
      <w:proofErr w:type="gram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момент ДТП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</w:rPr>
        <w:t>28.09.2021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округ, поселок Кедровка. ул. Трудовая, напротив дома №4,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водитель грузового фургона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Установлено, что мать вместе с дочерью приехала из Туринска к сожителю, затем они вместе поехали в частный дом к бабушке мужчины, чтобы помочь наколоть дрова. В момент аварии женщина 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Зил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, чтобы занять денег, в этот момент ребенок побежал к дороге и залез под автомашину.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03.10.2021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16.40 в Екатеринбурге на 11 км автодороги Екатеринбург-Серов обратное направление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водитель автомобиля «Рено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Логан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 допустил столкновение с двигавшимся впереди в попутном направлении грузовым автомобилем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Камаз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», после чего произошло возгорание легкового автомобиля.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Логан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», 3-х летний мальчик, еще двое, водитель и женщина-пассажир легкового автомобиля, родители ребенка, госпитализированы. 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в соответствии с требованиями правил перевозки детей, взрослые также были пристегнуты ремнями безопасности.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Установлено, что семья направлялась с дачи домой.</w:t>
      </w:r>
    </w:p>
    <w:p w:rsidR="00EE7C06" w:rsidRPr="00EE7C06" w:rsidRDefault="00EE7C06" w:rsidP="00EE7C06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04.10.2021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21.00 в Екатеринбурге при движении трамвая Т3по ул. 8 Марта,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несовершеннолетний пассажир, находившийся вне кабины транспортного средства на сцепке </w:t>
      </w:r>
      <w:proofErr w:type="spellStart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междувагонами</w:t>
      </w:r>
      <w:proofErr w:type="spellEnd"/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трамвая. В результате ДТП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погибла 13-летняя девочка-пассажир. Установлено, что девочка каталась в компании трех друзей на заднем прицепном устройстве трамвая, после чего пересела вместе с другом на сцепку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между вагонами. При начале движения транспортного средства девочка не удержалась и допустила падение на трамвайные пути. Мать девочки в момент ДТП находилась на работе, о месте нахождения дочери не знала.</w:t>
      </w:r>
    </w:p>
    <w:p w:rsidR="00EE7C06" w:rsidRPr="00EE7C06" w:rsidRDefault="00EE7C06" w:rsidP="00EE7C06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E7C06">
        <w:rPr>
          <w:rFonts w:ascii="Times New Roman" w:eastAsia="Times New Roman" w:hAnsi="Times New Roman" w:cs="Times New Roman"/>
          <w:b/>
          <w:i/>
          <w:sz w:val="26"/>
          <w:szCs w:val="26"/>
        </w:rPr>
        <w:t>10.10.2021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около 14.00 в Екатеринбурге 10-летний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», при выезде с прилегающей территории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на улицу Димитрова и пересекая ее в прямом направлении, не уступил дорогу и допустил столкновение с автомашиной «Пежо 4007». В результате ДТП пассажир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«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Rayo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», 8-ми летний мальчик, брат водителя, получил травмы несовместимые с жизнью.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госпитализирован. Установлено, что родители подарили детям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питбайкоколо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двух месяцев назад, но разрешали кататься только около дома в частном секторе. В этот день дети ослушались родителей и уехали кататься по городу вместе с друзьями, которые передвигались на скутере. Подростки на скутере двигались впереди и успели проскочить перед движущимся автомобилем, водитель </w:t>
      </w:r>
      <w:proofErr w:type="spellStart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>питбайка</w:t>
      </w:r>
      <w:proofErr w:type="spellEnd"/>
      <w:r w:rsidRPr="00EE7C06">
        <w:rPr>
          <w:rFonts w:ascii="Times New Roman" w:eastAsia="Times New Roman" w:hAnsi="Times New Roman" w:cs="Times New Roman"/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EE7C06" w:rsidRPr="00EE7C06" w:rsidRDefault="00EE7C06" w:rsidP="00EE7C0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 16 муниципальных образованиях Свердловской области отмечается рост аварийности с участием несовершеннолетних.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На 200% увеличилось количество ДТП в Верхней Салде и Североуральске (по 3 ДТП); на 175%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Краснотурьинске (11 ДТП); на 100% в Серове (6 ДТП), Туринске (5 ДТП), Лесном (4 ДТП), Байкалово, Красноуральске, Ревде, Сухом Логу (по 2 ДТП)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Артемовском (1 ДТП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);на</w:t>
      </w:r>
      <w:proofErr w:type="gram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55%в Каменске-Уральском (14 ДТП); на 50,5 % в Екатеринбурге (140 ДТП); на 33,3% в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Артях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Кировграде (по 4 ДТП), на8,3%вЗаречном (13 ДТП).</w:t>
      </w:r>
    </w:p>
    <w:p w:rsidR="00EE7C06" w:rsidRPr="00EE7C06" w:rsidRDefault="00EE7C06" w:rsidP="00EE7C06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34100" cy="3619500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>39% (137) пострадавших и погибших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в ДТП детей приходится на среднее школьное звено, 34% (121) на начальную школу и 27% (88) на дошкольный возраст, при этом большая часть пострадали и погибли в качестве пассажиров транспортных средств.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48000" cy="2257425"/>
            <wp:effectExtent l="0" t="0" r="0" b="0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3038475" cy="2257425"/>
            <wp:effectExtent l="0" t="0" r="0" b="0"/>
            <wp:docPr id="12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По причине нарушения ПДД РФ водителями автотранспортных средств количество ДТП увеличилось на 12,7% (230), количество раненых в них детей на 5,5% (249) и погибших на 433,3% (16).</w:t>
      </w:r>
    </w:p>
    <w:p w:rsidR="00EE7C06" w:rsidRPr="00EE7C06" w:rsidRDefault="00EE7C06" w:rsidP="00EE7C06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86500" cy="1666875"/>
            <wp:effectExtent l="0" t="0" r="0" b="0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76% ДТП (220) произошли при ясной погоде и 24% (90) при неблагоприятных метеорологических условиях (пасмурно, дождь,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В ясную погоду у водителей притупляется внимание из-за яркого солнца и жары.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38875" cy="1838325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75% (227) происшествий с участием несовершеннолетних произошли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Максимальные значения аварийности зафиксированы с 15 до 21 ч. 00 мин. (178 ДТП, 183 ранены,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</w: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>12 погибли), когда дети возвращаются домой из образовательных организаций, учреждений дополнительного образования, спортивных секций, мест проведения отдыха, находятся на улице и проезжей части без сопровождения взрослых.</w:t>
      </w: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115050" cy="1800225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81675" cy="206692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дорогах, расположенных в черте населенных пунктов, зарегистрировано 255 ДТП (+24%), в которых пострадали 264 (+19,5%) ребенка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и 11 погибли (+450%).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количества ДТП в населенных пунктах произошло в Екатеринбурге – 132 (+43,5%); Каменске-Уральском – 10 (+400%); Березовском -6 (+50%),Краснотурьинске – 6 (+500%); Заречном – 5 (+400%), Туринске - 5 (+100%); Серове – 5 (+67%),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Режевском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районе – 5 (+25%);в Пригородном районе (Нижний Тагил) -4 (+300%), Лесном-4 (+100%);в Верхней Салде – 3 (+200%), Каменском районе – 3 (+100%); в Кушве, Нижней Туре,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Слободо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-Туринском и </w:t>
      </w:r>
      <w:proofErr w:type="spell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Сухоложском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районах по 2 (+100%); в  Артемовском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Красноуфимском районах по 1 (+100%).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На автомобильных дорогах вне населенных пунктов зарегистрировано 55 ДТП (-10%), травмирован61 (-20%) ребенок и 10 погибли (+900%). Из них, на дорогах федерального значения зарегистрировано 16 ДТП (-11%), в которых пострадали 22ребенка (-8%) и 2 погибли (+100%).На автомобильных дорогах регионального значения произошло 52 ДТП (-5%), в которых 51 (-22%) ребенок получил травмы различной степени тяжести и 10 погибли (+900%). На дорогах местного значения зарегистрировано 207 ДТП (+ 27%), в которых травмированы 217 (+25%) детей и 9 погибли (+350%).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362700" cy="1704975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116205</wp:posOffset>
            </wp:positionV>
            <wp:extent cx="1062990" cy="1621155"/>
            <wp:effectExtent l="0" t="0" r="3810" b="0"/>
            <wp:wrapSquare wrapText="bothSides"/>
            <wp:docPr id="16" name="Рисунок 16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детей - пассажиров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135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(134; +0,7%) ДТП, в которых пострадал151 (160; -5,6%) ребенок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14 (1; +1300%)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погибли. Из них в возрасте до 12 лет травмированы109детей (-7,6%) и 12 погибли (+100%).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Доля ДТП с участием детей - пассажиров от общего показателя аварийности с участием детей составила 43%.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В 63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EE7C06" w:rsidRPr="00EE7C06" w:rsidRDefault="00EE7C06" w:rsidP="00EE7C06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4133850" cy="13906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В 16 случаях ДТП водители перевозили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юных пассажиров в возрасте до 12 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 нарушением правил перевозки детей,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этих авариях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травмированы 18несовершеннолетних (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12;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+50%) и 4 погибли (+100</w:t>
      </w:r>
      <w:proofErr w:type="gramStart"/>
      <w:r w:rsidRPr="00EE7C06">
        <w:rPr>
          <w:rFonts w:ascii="Times New Roman" w:eastAsia="Times New Roman" w:hAnsi="Times New Roman" w:cs="Times New Roman"/>
          <w:sz w:val="28"/>
          <w:szCs w:val="28"/>
        </w:rPr>
        <w:t>%):Екатеринбург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>4 ДТП; Богданович,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Заречный,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Ивдель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, Каменский район, Нижний Тагил, Новая Ляля, Первоуральск,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Ревда, Реж, Североуральск,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Серов, Тавда по – 1 ДТП.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Троих детей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перевозили в детских удерживающих устройствах, не соответствующих росту и весу юных пассажиров, еще тринадцать- без детских удерживающих устройств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не пристегнутыми ремнями безопасности.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При этом в 11 случаях нарушения перевозки детей допустили отцы.</w:t>
      </w:r>
    </w:p>
    <w:p w:rsidR="00EE7C06" w:rsidRPr="00EE7C06" w:rsidRDefault="00EE7C06" w:rsidP="00EE7C06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210300" cy="1828800"/>
            <wp:effectExtent l="0" t="0" r="0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справа (68) и слева (50).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Подавляющее большинство происшествий, в которых пострадали дети-пассажиры- это столкновения транспортных средств (110; +4%), количество травмированных в них детей увеличилось на 2% (126), погибших на 100% (13).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Устойчивый рост количества ДТП с участием детей-пассажиров зарегистрирован с 10.00 до 22.00 (110 ДТП, 128 ранены и 12 погибли), с максимальными значениями аварийности в период с 17.00 до 22.00 (50 ДТП,54 ранены, 6 погибли). Большинство аварий произошло в субботу (32 ДТП, 40 ранены, 3 погибли) и воскресенье (27 ДТП, 29 ранены, 7 погибли).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15" name="Рисунок 15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EE7C0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детей-пешеходов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зарегистрировано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>142ДТП (105; +35,2%), в которых пострадал 141 (109; +29,4%) ребенок и 6 погибли (2; +400%). От общего показателя аварийности с участием несовершеннолетних доля ДТП с участием детей- пешеходов составила 45%.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На 29% (67) увеличилось количество ДТП по собственной неосторожности несовершеннолетних пешеходов, в которых пострадали65детей (+27,5%) и3 погибли (+200%).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Каждый второй наезд на ребенка (55 ДТП) совершен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пешеходном переходе. В таких происшествиях травмированы56 юных пешеходов(+27%) и 1 погиб (уровень АППГ). </w:t>
      </w:r>
    </w:p>
    <w:p w:rsidR="00EE7C06" w:rsidRPr="00EE7C06" w:rsidRDefault="00EE7C06" w:rsidP="00EE7C06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715000" cy="1704975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На 33,3% (16) увеличилось количество происшествий с детьми-пешеходами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ребенка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световозвращающих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элементов.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>Участниками каждого второго происшествия (68) стали дети-пешеходы в возрасте 8-10 лет (45; +125%). Все наезды произошли в городах и населенных пунктах.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Наибольшие показатели количества ДТП с участием детей-пешеходов зафиксированы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в пятницу (29 ДТП; +93,3%) и во вторник (26 ДТП; +13%), при этом 2 ребенка погибли в среду (+100%), в понедельник, вторник, четверг и субботу по 1 (+100%).Наименьшее количество наездов зарегистрированы в воскресенье (11 ДТП). По времени совершения самым опасным является с 15 до 20 часов, в это время произошло 70% ДТП с участием юных пешеходов (99 ДТП, 98 ранены и6 погибли), при этом максимальные значения зарегистрированы в период с 17 до 19 часов (48 ДТП, 3 погибли). Минимальное количество ДТП по времени совершения произошло в период с 09 до 10 и с 11 до 12 часов (по 2 ДТП).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 43 случаях ДТП (30%)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E7C06" w:rsidRPr="00EE7C06" w:rsidRDefault="00EE7C06" w:rsidP="00EE7C06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социальным характеристикам семей, каждый четвертый ребенок-пешеход, попавший в ДТП, воспитывается в неполной семье и воспитанием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занимается только один родитель. В пятнадцати случаях ДТП произошли с детьми из многодетных семей, когда ребенок находился в сопровождении братьев, либо сестер. В 32 случаях ДТП с детьми, родители которых не имеют постоянное место работы,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13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юных водителей </w:t>
      </w:r>
      <w:proofErr w:type="spellStart"/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велотранспорта</w:t>
      </w:r>
      <w:proofErr w:type="spellEnd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30 ДТП (21; +43%), в результате которых пострадали 30детей (21; +43%), из них 14 (-6,7%) пострадали по собственной неосторожности. При этом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случаях у детей отсутствовали средства пассивной защиты (шлем, налокотники, наколенники</w:t>
      </w:r>
      <w:proofErr w:type="gramStart"/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proofErr w:type="gram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каждого второго случая (12) стали дети-велосипедисты в возрасте 8-9 лет (7; +250%), 12-13и 15-16 лет (по 4; +300%). Наибольшее количество ДТП зафиксированы в понедельник (8; + 167%) и субботу (6; +50%). По времени совершения самым опасным является с 17 до 20 часов (14 ДТП).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участием </w:t>
      </w:r>
      <w:r w:rsidRPr="00EE7C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юных водителей мототранспорта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зарегистрировано 4 ДТП 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(7; -43%), в результате которых погиб 1 ребенок (+100%), еще 3 получили травмы</w:t>
      </w:r>
      <w:r w:rsidRPr="00EE7C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(7; -57%). Аварии зарегистрированы в Екатеринбурге, Серове, Первоуральске и Нижнем Тагиле. Во всех случаях дети пострадали по собственной неосторожности. В момент ДТП мотошлемы и защитная экипировка отсутствовали.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5819775" cy="1847850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Вина несовершеннолетних усматривается в 86 ДТП из 310и составляет 27% от общего количества дорожных аварий с участием детей: Екатеринбург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>45 (2 погибли; +40,6%);по 4 в Краснотурьинске (+33,3%)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Нижнем Тагиле(-43%);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br/>
        <w:t xml:space="preserve">по 3 в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Артях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 (+200%), Березовском (+50%), Реже (1 погиб, +200%,) и Заречном (+200%); по 2 в Каменске-Уральском, Байкалово, Первоуральске, Сысерти и Туринске (+100%);по 1 в Богдановиче, Полевском, Североуральске, Сухом Логу, Тугулыме (уровень АППГ), Верхней Салде, Нижних Сергах, Талице, Шале(+100%)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Серове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>(1 погиб) и Красноуфимске(-50%). Основными нарушениями ПДД РФ, допущенными юными пешеходами, стали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t xml:space="preserve">переход проезжей части в неустановленном месте, в зоне видимости пешеходного перехода (29), неожиданный выход на проезжую часть из-за стоящего транспортного средства, сооружений или деревьев (26), неподчинение сигналам регулирования (6) и нахождение на проезжей части без цели перехода (3), иные нарушения ПДД </w:t>
      </w:r>
      <w:r w:rsidRPr="00EE7C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пешеходами (3); детьми-велосипедистами – пересечение проезжей части дороги по пешеходному переходу, не спешившись (8); не предоставление преимущества в движении при выезде с прилегающей территории, второстепенной дороги (6) и (4) детьми-водителями </w:t>
      </w:r>
      <w:proofErr w:type="spellStart"/>
      <w:r w:rsidRPr="00EE7C06">
        <w:rPr>
          <w:rFonts w:ascii="Times New Roman" w:eastAsia="Times New Roman" w:hAnsi="Times New Roman" w:cs="Times New Roman"/>
          <w:sz w:val="28"/>
          <w:szCs w:val="28"/>
        </w:rPr>
        <w:t>мототраснпорта</w:t>
      </w:r>
      <w:proofErr w:type="spellEnd"/>
      <w:r w:rsidRPr="00EE7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6562725" cy="26193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E7C06" w:rsidRPr="00EE7C06" w:rsidRDefault="00EE7C06" w:rsidP="00EE7C06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E7C06" w:rsidRPr="00EE7C06" w:rsidRDefault="00EE7C06" w:rsidP="00EE7C06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C06">
        <w:rPr>
          <w:rFonts w:ascii="Times New Roman" w:eastAsia="Times New Roman" w:hAnsi="Times New Roman" w:cs="Times New Roman"/>
          <w:i/>
          <w:sz w:val="28"/>
          <w:szCs w:val="28"/>
        </w:rPr>
        <w:t>УГИБДД ГУ МВД России по Свердловской области</w:t>
      </w:r>
    </w:p>
    <w:p w:rsidR="00EE7C06" w:rsidRPr="00EE7C06" w:rsidRDefault="00EE7C06" w:rsidP="00EE7C06">
      <w:pPr>
        <w:keepNext/>
        <w:spacing w:before="71"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F97830" w:rsidRPr="0071126E" w:rsidRDefault="00F97830" w:rsidP="00C72FEC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97830" w:rsidRPr="0071126E" w:rsidSect="00D70B8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176"/>
    <w:multiLevelType w:val="multilevel"/>
    <w:tmpl w:val="00A078EA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0C73FB"/>
    <w:multiLevelType w:val="multilevel"/>
    <w:tmpl w:val="5DAE5080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F7E0D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1D14B6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212A86"/>
    <w:multiLevelType w:val="multilevel"/>
    <w:tmpl w:val="85663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D26526C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5631D50"/>
    <w:multiLevelType w:val="hybridMultilevel"/>
    <w:tmpl w:val="A3243B98"/>
    <w:lvl w:ilvl="0" w:tplc="874E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98074E"/>
    <w:multiLevelType w:val="multilevel"/>
    <w:tmpl w:val="C8EA32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46F43A2"/>
    <w:multiLevelType w:val="multilevel"/>
    <w:tmpl w:val="95D6C1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A0"/>
    <w:rsid w:val="000F1D3C"/>
    <w:rsid w:val="001430EE"/>
    <w:rsid w:val="001D4560"/>
    <w:rsid w:val="002618FA"/>
    <w:rsid w:val="00262166"/>
    <w:rsid w:val="002701C8"/>
    <w:rsid w:val="00274E1C"/>
    <w:rsid w:val="003470B1"/>
    <w:rsid w:val="003663D9"/>
    <w:rsid w:val="00385C1C"/>
    <w:rsid w:val="003F175A"/>
    <w:rsid w:val="004F1C5C"/>
    <w:rsid w:val="00523109"/>
    <w:rsid w:val="005306E2"/>
    <w:rsid w:val="00553B1D"/>
    <w:rsid w:val="005556FA"/>
    <w:rsid w:val="005D4052"/>
    <w:rsid w:val="005F39A6"/>
    <w:rsid w:val="00600EC9"/>
    <w:rsid w:val="0071126E"/>
    <w:rsid w:val="00784A42"/>
    <w:rsid w:val="008D2F1D"/>
    <w:rsid w:val="008E3D0B"/>
    <w:rsid w:val="00934953"/>
    <w:rsid w:val="00944EAD"/>
    <w:rsid w:val="00A245F8"/>
    <w:rsid w:val="00AE0E3F"/>
    <w:rsid w:val="00B11BCC"/>
    <w:rsid w:val="00B350A0"/>
    <w:rsid w:val="00BD1AEE"/>
    <w:rsid w:val="00C712C6"/>
    <w:rsid w:val="00C72FEC"/>
    <w:rsid w:val="00D64155"/>
    <w:rsid w:val="00D70B8D"/>
    <w:rsid w:val="00DB1449"/>
    <w:rsid w:val="00DD1890"/>
    <w:rsid w:val="00EE343A"/>
    <w:rsid w:val="00EE7C06"/>
    <w:rsid w:val="00F0386B"/>
    <w:rsid w:val="00F27C2A"/>
    <w:rsid w:val="00F97830"/>
    <w:rsid w:val="00FD774D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F1A4"/>
  <w15:docId w15:val="{69E6ED45-3694-4DB9-8F02-00A42871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9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F39A6"/>
    <w:rPr>
      <w:color w:val="0000FF" w:themeColor="hyperlink"/>
      <w:u w:val="single"/>
    </w:rPr>
  </w:style>
  <w:style w:type="character" w:customStyle="1" w:styleId="a4">
    <w:name w:val="Основной текст_"/>
    <w:basedOn w:val="a0"/>
    <w:link w:val="4"/>
    <w:rsid w:val="00944EAD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">
    <w:name w:val="Основной текст1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">
    <w:name w:val="Основной текст3"/>
    <w:basedOn w:val="a4"/>
    <w:rsid w:val="00944EA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</w:rPr>
  </w:style>
  <w:style w:type="character" w:customStyle="1" w:styleId="a5">
    <w:name w:val="Основной текст + Полужирный"/>
    <w:basedOn w:val="a4"/>
    <w:rsid w:val="00944EAD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944EAD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lang w:eastAsia="en-US"/>
    </w:rPr>
  </w:style>
  <w:style w:type="paragraph" w:styleId="a6">
    <w:name w:val="No Spacing"/>
    <w:uiPriority w:val="1"/>
    <w:qFormat/>
    <w:rsid w:val="00600EC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D2F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A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0.xml"/><Relationship Id="rId10" Type="http://schemas.openxmlformats.org/officeDocument/2006/relationships/chart" Target="charts/chart6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4F81BD"/>
            </a:solidFill>
            <a:ln w="25540">
              <a:noFill/>
            </a:ln>
          </c:spPr>
          <c:invertIfNegative val="0"/>
          <c:dLbls>
            <c:spPr>
              <a:noFill/>
              <a:ln w="255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F8-4CE5-A842-FA2C6EDB311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C0504D"/>
            </a:solidFill>
            <a:ln w="25540">
              <a:noFill/>
            </a:ln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 w="25540">
                <a:noFill/>
              </a:ln>
            </c:spPr>
            <c:extLst>
              <c:ext xmlns:c16="http://schemas.microsoft.com/office/drawing/2014/chart" uri="{C3380CC4-5D6E-409C-BE32-E72D297353CC}">
                <c16:uniqueId val="{00000002-6CF8-4CE5-A842-FA2C6EDB3117}"/>
              </c:ext>
            </c:extLst>
          </c:dPt>
          <c:dLbls>
            <c:dLbl>
              <c:idx val="0"/>
              <c:layout>
                <c:manualLayout>
                  <c:x val="3.7617554858934185E-2"/>
                  <c:y val="-7.168458781362013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F8-4CE5-A842-FA2C6EDB3117}"/>
                </c:ext>
              </c:extLst>
            </c:dLbl>
            <c:dLbl>
              <c:idx val="1"/>
              <c:layout>
                <c:manualLayout>
                  <c:x val="3.3437826541274848E-2"/>
                  <c:y val="-6.571011307365183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F8-4CE5-A842-FA2C6EDB3117}"/>
                </c:ext>
              </c:extLst>
            </c:dLbl>
            <c:dLbl>
              <c:idx val="2"/>
              <c:layout>
                <c:manualLayout>
                  <c:x val="3.3437826541274848E-2"/>
                  <c:y val="-1.6427528268412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F8-4CE5-A842-FA2C6EDB3117}"/>
                </c:ext>
              </c:extLst>
            </c:dLbl>
            <c:spPr>
              <a:noFill/>
              <a:ln w="2554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5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CF8-4CE5-A842-FA2C6EDB31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3184384"/>
        <c:axId val="93185920"/>
        <c:axId val="0"/>
      </c:bar3DChart>
      <c:catAx>
        <c:axId val="9318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7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85920"/>
        <c:crosses val="autoZero"/>
        <c:auto val="1"/>
        <c:lblAlgn val="ctr"/>
        <c:lblOffset val="100"/>
        <c:noMultiLvlLbl val="0"/>
      </c:catAx>
      <c:valAx>
        <c:axId val="93185920"/>
        <c:scaling>
          <c:orientation val="minMax"/>
        </c:scaling>
        <c:delete val="0"/>
        <c:axPos val="l"/>
        <c:majorGridlines>
          <c:spPr>
            <a:ln w="957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7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5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184384"/>
        <c:crosses val="autoZero"/>
        <c:crossBetween val="between"/>
      </c:valAx>
      <c:spPr>
        <a:noFill/>
        <a:ln w="25540">
          <a:noFill/>
        </a:ln>
      </c:spPr>
    </c:plotArea>
    <c:legend>
      <c:legendPos val="b"/>
      <c:overlay val="0"/>
      <c:spPr>
        <a:noFill/>
        <a:ln w="2554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5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7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C4-4FD5-B7D1-574F3C1E478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C4-4FD5-B7D1-574F3C1E4789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2C4-4FD5-B7D1-574F3C1E4789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2C4-4FD5-B7D1-574F3C1E4789}"/>
                </c:ext>
              </c:extLst>
            </c:dLbl>
            <c:spPr>
              <a:noFill/>
              <a:ln w="2540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2C4-4FD5-B7D1-574F3C1E478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 w="25402">
          <a:noFill/>
        </a:ln>
      </c:spPr>
    </c:plotArea>
    <c:legend>
      <c:legendPos val="b"/>
      <c:overlay val="0"/>
      <c:spPr>
        <a:noFill/>
        <a:ln w="2540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38969799868766403"/>
          <c:y val="0"/>
        </c:manualLayout>
      </c:layout>
      <c:overlay val="0"/>
      <c:spPr>
        <a:noFill/>
        <a:ln w="25417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1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D0-457D-B9B5-90D1722B0CA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D0-457D-B9B5-90D1722B0CA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D0-457D-B9B5-90D1722B0CA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D0-457D-B9B5-90D1722B0CA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D0-457D-B9B5-90D1722B0CA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62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BD0-457D-B9B5-90D1722B0CA9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D0-457D-B9B5-90D1722B0CA9}"/>
                </c:ext>
              </c:extLst>
            </c:dLbl>
            <c:dLbl>
              <c:idx val="1"/>
              <c:layout>
                <c:manualLayout>
                  <c:x val="-5.8486131444624792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D0-457D-B9B5-90D1722B0CA9}"/>
                </c:ext>
              </c:extLst>
            </c:dLbl>
            <c:dLbl>
              <c:idx val="2"/>
              <c:layout>
                <c:manualLayout>
                  <c:x val="-2.2714447126270049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D0-457D-B9B5-90D1722B0CA9}"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D0-457D-B9B5-90D1722B0CA9}"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D0-457D-B9B5-90D1722B0CA9}"/>
                </c:ext>
              </c:extLst>
            </c:dLbl>
            <c:dLbl>
              <c:idx val="5"/>
              <c:layout>
                <c:manualLayout>
                  <c:x val="8.517268674748997E-2"/>
                  <c:y val="-2.67761330718616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BD0-457D-B9B5-90D1722B0CA9}"/>
                </c:ext>
              </c:extLst>
            </c:dLbl>
            <c:spPr>
              <a:noFill/>
              <a:ln w="2541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3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BD0-457D-B9B5-90D1722B0CA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7">
          <a:noFill/>
        </a:ln>
      </c:spPr>
    </c:plotArea>
    <c:plotVisOnly val="1"/>
    <c:dispBlanksAs val="zero"/>
    <c:showDLblsOverMax val="0"/>
  </c:chart>
  <c:spPr>
    <a:solidFill>
      <a:schemeClr val="bg1"/>
    </a:solidFill>
    <a:ln w="953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 w="25384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7"/>
            <c:spPr>
              <a:solidFill>
                <a:schemeClr val="accent6"/>
              </a:solidFill>
              <a:ln w="1903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B32-4239-9407-AF7AE9EABFA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3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B32-4239-9407-AF7AE9EABFAD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B32-4239-9407-AF7AE9EABFAD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B32-4239-9407-AF7AE9EABFAD}"/>
                </c:ext>
              </c:extLst>
            </c:dLbl>
            <c:spPr>
              <a:noFill/>
              <a:ln w="2538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9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B32-4239-9407-AF7AE9EABF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84">
          <a:noFill/>
        </a:ln>
      </c:spPr>
    </c:plotArea>
    <c:legend>
      <c:legendPos val="b"/>
      <c:overlay val="0"/>
      <c:spPr>
        <a:noFill/>
        <a:ln w="25384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1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7.9456136430358565E-2"/>
          <c:y val="5.9544196319722331E-3"/>
        </c:manualLayout>
      </c:layout>
      <c:overlay val="0"/>
      <c:spPr>
        <a:noFill/>
        <a:ln w="25389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9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CF0-42F3-AAE4-74FF5EF292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CF0-42F3-AAE4-74FF5EF292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CF0-42F3-AAE4-74FF5EF292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389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CF0-42F3-AAE4-74FF5EF29221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F0-42F3-AAE4-74FF5EF29221}"/>
                </c:ext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F0-42F3-AAE4-74FF5EF29221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F0-42F3-AAE4-74FF5EF29221}"/>
                </c:ext>
              </c:extLst>
            </c:dLbl>
            <c:dLbl>
              <c:idx val="3"/>
              <c:layout>
                <c:manualLayout>
                  <c:x val="0.13698787651543573"/>
                  <c:y val="-9.998521942436373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F0-42F3-AAE4-74FF5EF29221}"/>
                </c:ext>
              </c:extLst>
            </c:dLbl>
            <c:spPr>
              <a:noFill/>
              <a:ln w="2538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1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CF0-42F3-AAE4-74FF5EF29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9">
          <a:noFill/>
        </a:ln>
      </c:spPr>
    </c:plotArea>
    <c:plotVisOnly val="1"/>
    <c:dispBlanksAs val="zero"/>
    <c:showDLblsOverMax val="0"/>
  </c:chart>
  <c:spPr>
    <a:solidFill>
      <a:schemeClr val="bg1"/>
    </a:solidFill>
    <a:ln w="952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9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71834595271"/>
          <c:y val="5.9544261512765456E-3"/>
        </c:manualLayout>
      </c:layout>
      <c:overlay val="0"/>
      <c:spPr>
        <a:noFill/>
        <a:ln w="25387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36235125781742E-2"/>
          <c:y val="0.24478379983523976"/>
          <c:w val="0.82683371475117362"/>
          <c:h val="0.6568557579937549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91C-47E9-B9C5-CC300FBA2C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91C-47E9-B9C5-CC300FBA2C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91C-47E9-B9C5-CC300FBA2C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91C-47E9-B9C5-CC300FBA2C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91C-47E9-B9C5-CC300FBA2C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91C-47E9-B9C5-CC300FBA2CF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91C-47E9-B9C5-CC300FBA2CF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91C-47E9-B9C5-CC300FBA2CF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F91C-47E9-B9C5-CC300FBA2CF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F91C-47E9-B9C5-CC300FBA2CF0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F91C-47E9-B9C5-CC300FBA2CF0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F91C-47E9-B9C5-CC300FBA2CF0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F91C-47E9-B9C5-CC300FBA2CF0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F91C-47E9-B9C5-CC300FBA2CF0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F91C-47E9-B9C5-CC300FBA2CF0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F91C-47E9-B9C5-CC300FBA2CF0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F91C-47E9-B9C5-CC300FBA2CF0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F91C-47E9-B9C5-CC300FBA2CF0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F91C-47E9-B9C5-CC300FBA2CF0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F91C-47E9-B9C5-CC300FBA2CF0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F91C-47E9-B9C5-CC300FBA2CF0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F91C-47E9-B9C5-CC300FBA2CF0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387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F91C-47E9-B9C5-CC300FBA2CF0}"/>
              </c:ext>
            </c:extLst>
          </c:dPt>
          <c:dLbls>
            <c:dLbl>
              <c:idx val="0"/>
              <c:layout>
                <c:manualLayout>
                  <c:x val="-0.16115979584244031"/>
                  <c:y val="-1.561775580972109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1C-47E9-B9C5-CC300FBA2CF0}"/>
                </c:ext>
              </c:extLst>
            </c:dLbl>
            <c:dLbl>
              <c:idx val="1"/>
              <c:layout>
                <c:manualLayout>
                  <c:x val="-0.14144228866705547"/>
                  <c:y val="-7.169377550433933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91C-47E9-B9C5-CC300FBA2CF0}"/>
                </c:ext>
              </c:extLst>
            </c:dLbl>
            <c:dLbl>
              <c:idx val="2"/>
              <c:layout>
                <c:manualLayout>
                  <c:x val="-9.4368401873506966E-2"/>
                  <c:y val="-9.15255666034447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1C-47E9-B9C5-CC300FBA2CF0}"/>
                </c:ext>
              </c:extLst>
            </c:dLbl>
            <c:dLbl>
              <c:idx val="3"/>
              <c:layout>
                <c:manualLayout>
                  <c:x val="-1.6743303419662139E-2"/>
                  <c:y val="-5.10696017012472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91C-47E9-B9C5-CC300FBA2CF0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91C-47E9-B9C5-CC300FBA2CF0}"/>
                </c:ext>
              </c:extLst>
            </c:dLbl>
            <c:dLbl>
              <c:idx val="5"/>
              <c:layout>
                <c:manualLayout>
                  <c:x val="9.5713562146054025E-3"/>
                  <c:y val="-6.75134586278907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91C-47E9-B9C5-CC300FBA2CF0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91C-47E9-B9C5-CC300FBA2CF0}"/>
                </c:ext>
              </c:extLst>
            </c:dLbl>
            <c:dLbl>
              <c:idx val="7"/>
              <c:layout>
                <c:manualLayout>
                  <c:x val="8.6654968070778285E-2"/>
                  <c:y val="-7.55257965017146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91C-47E9-B9C5-CC300FBA2CF0}"/>
                </c:ext>
              </c:extLst>
            </c:dLbl>
            <c:dLbl>
              <c:idx val="8"/>
              <c:layout>
                <c:manualLayout>
                  <c:x val="4.8129052268582793E-2"/>
                  <c:y val="-3.716190585665845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91C-47E9-B9C5-CC300FBA2CF0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91C-47E9-B9C5-CC300FBA2CF0}"/>
                </c:ext>
              </c:extLst>
            </c:dLbl>
            <c:dLbl>
              <c:idx val="10"/>
              <c:layout>
                <c:manualLayout>
                  <c:x val="2.5762019390537259E-2"/>
                  <c:y val="-1.380500795064850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91C-47E9-B9C5-CC300FBA2CF0}"/>
                </c:ext>
              </c:extLst>
            </c:dLbl>
            <c:dLbl>
              <c:idx val="11"/>
              <c:layout>
                <c:manualLayout>
                  <c:x val="0.14193213235558141"/>
                  <c:y val="-3.057072245531360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91C-47E9-B9C5-CC300FBA2CF0}"/>
                </c:ext>
              </c:extLst>
            </c:dLbl>
            <c:dLbl>
              <c:idx val="12"/>
              <c:layout>
                <c:manualLayout>
                  <c:x val="4.1603099796866105E-3"/>
                  <c:y val="-9.7361917351571927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91C-47E9-B9C5-CC300FBA2CF0}"/>
                </c:ext>
              </c:extLst>
            </c:dLbl>
            <c:dLbl>
              <c:idx val="13"/>
              <c:layout>
                <c:manualLayout>
                  <c:x val="0.14581207328709422"/>
                  <c:y val="-3.467440657509054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91C-47E9-B9C5-CC300FBA2CF0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93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91C-47E9-B9C5-CC300FBA2CF0}"/>
                </c:ext>
              </c:extLst>
            </c:dLbl>
            <c:dLbl>
              <c:idx val="15"/>
              <c:layout>
                <c:manualLayout>
                  <c:x val="8.6816161174769299E-2"/>
                  <c:y val="6.2770274153687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91C-47E9-B9C5-CC300FBA2CF0}"/>
                </c:ext>
              </c:extLst>
            </c:dLbl>
            <c:dLbl>
              <c:idx val="16"/>
              <c:layout>
                <c:manualLayout>
                  <c:x val="8.4445323833890196E-3"/>
                  <c:y val="-4.516926260129891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F91C-47E9-B9C5-CC300FBA2CF0}"/>
                </c:ext>
              </c:extLst>
            </c:dLbl>
            <c:dLbl>
              <c:idx val="17"/>
              <c:layout>
                <c:manualLayout>
                  <c:x val="2.5850484610642241E-3"/>
                  <c:y val="-1.543383719370846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F91C-47E9-B9C5-CC300FBA2CF0}"/>
                </c:ext>
              </c:extLst>
            </c:dLbl>
            <c:dLbl>
              <c:idx val="18"/>
              <c:layout>
                <c:manualLayout>
                  <c:x val="8.5909048891929726E-3"/>
                  <c:y val="9.047646416460636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F91C-47E9-B9C5-CC300FBA2CF0}"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F91C-47E9-B9C5-CC300FBA2CF0}"/>
                </c:ext>
              </c:extLst>
            </c:dLbl>
            <c:dLbl>
              <c:idx val="22"/>
              <c:layout>
                <c:manualLayout>
                  <c:x val="-2.3972852331073831E-2"/>
                  <c:y val="-0.1305270417840105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F91C-47E9-B9C5-CC300FBA2CF0}"/>
                </c:ext>
              </c:extLst>
            </c:dLbl>
            <c:spPr>
              <a:noFill/>
              <a:ln w="25387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0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F91C-47E9-B9C5-CC300FBA2C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7">
          <a:noFill/>
        </a:ln>
      </c:spPr>
    </c:plotArea>
    <c:plotVisOnly val="1"/>
    <c:dispBlanksAs val="zero"/>
    <c:showDLblsOverMax val="0"/>
  </c:chart>
  <c:spPr>
    <a:solidFill>
      <a:schemeClr val="bg1"/>
    </a:solidFill>
    <a:ln w="952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3">
              <a:solidFill>
                <a:schemeClr val="lt1"/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7.5886542219605795E-3"/>
                  <c:y val="5.159078362437171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7-4082-902F-518993B39695}"/>
                </c:ext>
              </c:extLst>
            </c:dLbl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507-4082-902F-518993B39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201984"/>
        <c:axId val="8222835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8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07-4082-902F-518993B396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201984"/>
        <c:axId val="82228352"/>
      </c:lineChart>
      <c:catAx>
        <c:axId val="8220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28352"/>
        <c:crosses val="autoZero"/>
        <c:auto val="1"/>
        <c:lblAlgn val="ctr"/>
        <c:lblOffset val="100"/>
        <c:noMultiLvlLbl val="0"/>
      </c:catAx>
      <c:valAx>
        <c:axId val="82228352"/>
        <c:scaling>
          <c:orientation val="minMax"/>
        </c:scaling>
        <c:delete val="0"/>
        <c:axPos val="l"/>
        <c:majorGridlines>
          <c:spPr>
            <a:ln w="952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ln w="9527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01984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C1-4BAE-B620-7503D8DACD6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4C1-4BAE-B620-7503D8DACD6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48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4C1-4BAE-B620-7503D8DACD6B}"/>
              </c:ext>
            </c:extLst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C1-4BAE-B620-7503D8DACD6B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C1-4BAE-B620-7503D8DACD6B}"/>
                </c:ext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C1-4BAE-B620-7503D8DACD6B}"/>
                </c:ext>
              </c:extLst>
            </c:dLbl>
            <c:spPr>
              <a:noFill/>
              <a:ln w="25398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4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C1-4BAE-B620-7503D8DACD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98">
          <a:noFill/>
        </a:ln>
      </c:spPr>
    </c:plotArea>
    <c:legend>
      <c:legendPos val="b"/>
      <c:overlay val="0"/>
      <c:spPr>
        <a:noFill/>
        <a:ln w="25398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1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 w="25419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6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4B7-4794-B12E-41F2A9A80DF7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64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4B7-4794-B12E-41F2A9A80DF7}"/>
              </c:ext>
            </c:extLst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B7-4794-B12E-41F2A9A80DF7}"/>
                </c:ext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B7-4794-B12E-41F2A9A80DF7}"/>
                </c:ext>
              </c:extLst>
            </c:dLbl>
            <c:spPr>
              <a:noFill/>
              <a:ln w="2541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1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32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B7-4794-B12E-41F2A9A80D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19">
          <a:noFill/>
        </a:ln>
      </c:spPr>
    </c:plotArea>
    <c:legend>
      <c:legendPos val="b"/>
      <c:overlay val="0"/>
      <c:spPr>
        <a:noFill/>
        <a:ln w="2541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1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3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 w="25404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33-4B1D-BFDE-7AB2638BD6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33-4B1D-BFDE-7AB2638BD6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4">
              <a:noFill/>
            </a:ln>
          </c:spPr>
          <c:invertIfNegative val="0"/>
          <c:dLbls>
            <c:spPr>
              <a:noFill/>
              <a:ln w="25404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33-4B1D-BFDE-7AB2638BD6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0439808"/>
        <c:axId val="110486656"/>
      </c:barChart>
      <c:catAx>
        <c:axId val="11043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86656"/>
        <c:crosses val="autoZero"/>
        <c:auto val="1"/>
        <c:lblAlgn val="ctr"/>
        <c:lblOffset val="100"/>
        <c:noMultiLvlLbl val="0"/>
      </c:catAx>
      <c:valAx>
        <c:axId val="110486656"/>
        <c:scaling>
          <c:orientation val="minMax"/>
        </c:scaling>
        <c:delete val="0"/>
        <c:axPos val="l"/>
        <c:majorGridlines>
          <c:spPr>
            <a:ln w="952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39808"/>
        <c:crosses val="autoZero"/>
        <c:crossBetween val="between"/>
      </c:valAx>
      <c:spPr>
        <a:noFill/>
        <a:ln w="25404">
          <a:noFill/>
        </a:ln>
      </c:spPr>
    </c:plotArea>
    <c:legend>
      <c:legendPos val="b"/>
      <c:overlay val="0"/>
      <c:spPr>
        <a:noFill/>
        <a:ln w="25404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 w="2540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F7964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CC-4DDB-B89D-3BF35379BD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4BACC6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CC-4DDB-B89D-3BF35379BDF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409">
              <a:noFill/>
            </a:ln>
          </c:spPr>
          <c:invertIfNegative val="0"/>
          <c:dLbls>
            <c:spPr>
              <a:noFill/>
              <a:ln w="2540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CC-4DDB-B89D-3BF35379BD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4490496"/>
        <c:axId val="144492032"/>
      </c:barChart>
      <c:catAx>
        <c:axId val="14449049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8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92032"/>
        <c:crosses val="autoZero"/>
        <c:auto val="1"/>
        <c:lblAlgn val="ctr"/>
        <c:lblOffset val="100"/>
        <c:tickLblSkip val="1"/>
        <c:noMultiLvlLbl val="0"/>
      </c:catAx>
      <c:valAx>
        <c:axId val="144492032"/>
        <c:scaling>
          <c:orientation val="minMax"/>
        </c:scaling>
        <c:delete val="0"/>
        <c:axPos val="l"/>
        <c:majorGridlines>
          <c:spPr>
            <a:ln w="9528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8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490496"/>
        <c:crosses val="autoZero"/>
        <c:crossBetween val="between"/>
      </c:valAx>
      <c:spPr>
        <a:noFill/>
        <a:ln w="25409">
          <a:noFill/>
        </a:ln>
      </c:spPr>
    </c:plotArea>
    <c:legend>
      <c:legendPos val="b"/>
      <c:overlay val="0"/>
      <c:spPr>
        <a:noFill/>
        <a:ln w="25409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8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 w="25339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rgbClr val="4F81BD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3E-4C28-87BE-B901F99C14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3E-4C28-87BE-B901F99C14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39">
              <a:noFill/>
            </a:ln>
          </c:spPr>
          <c:invertIfNegative val="0"/>
          <c:dLbls>
            <c:spPr>
              <a:noFill/>
              <a:ln w="25339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3E-4C28-87BE-B901F99C14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02744448"/>
        <c:axId val="102745984"/>
      </c:barChart>
      <c:catAx>
        <c:axId val="10274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0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45984"/>
        <c:crosses val="autoZero"/>
        <c:auto val="1"/>
        <c:lblAlgn val="ctr"/>
        <c:lblOffset val="100"/>
        <c:noMultiLvlLbl val="0"/>
      </c:catAx>
      <c:valAx>
        <c:axId val="102745984"/>
        <c:scaling>
          <c:orientation val="minMax"/>
        </c:scaling>
        <c:delete val="0"/>
        <c:axPos val="l"/>
        <c:majorGridlines>
          <c:spPr>
            <a:ln w="950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0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744448"/>
        <c:crosses val="autoZero"/>
        <c:crossBetween val="between"/>
      </c:valAx>
      <c:spPr>
        <a:noFill/>
        <a:ln w="25339">
          <a:noFill/>
        </a:ln>
      </c:spPr>
    </c:plotArea>
    <c:legend>
      <c:legendPos val="b"/>
      <c:overlay val="0"/>
      <c:spPr>
        <a:noFill/>
        <a:ln w="25339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0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1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4701250586"/>
          <c:y val="4.5429758173432212E-3"/>
        </c:manualLayout>
      </c:layout>
      <c:overlay val="0"/>
      <c:spPr>
        <a:noFill/>
        <a:ln w="25410">
          <a:noFill/>
        </a:ln>
      </c:spPr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100-4D9A-AAEB-EDDA60AEC37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100-4D9A-AAEB-EDDA60AEC37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100-4D9A-AAEB-EDDA60AEC37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100-4D9A-AAEB-EDDA60AEC37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100-4D9A-AAEB-EDDA60AEC37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100-4D9A-AAEB-EDDA60AEC37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100-4D9A-AAEB-EDDA60AEC37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1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100-4D9A-AAEB-EDDA60AEC372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00-4D9A-AAEB-EDDA60AEC372}"/>
                </c:ext>
              </c:extLst>
            </c:dLbl>
            <c:dLbl>
              <c:idx val="1"/>
              <c:layout>
                <c:manualLayout>
                  <c:x val="-0.10351497798312412"/>
                  <c:y val="-0.10829103214890039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00-4D9A-AAEB-EDDA60AEC372}"/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83E-2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0100-4D9A-AAEB-EDDA60AEC372}"/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00-4D9A-AAEB-EDDA60AEC372}"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9-0100-4D9A-AAEB-EDDA60AEC372}"/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 w="25410">
                  <a:noFill/>
                </a:ln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0100-4D9A-AAEB-EDDA60AEC372}"/>
                </c:ext>
              </c:extLst>
            </c:dLbl>
            <c:dLbl>
              <c:idx val="6"/>
              <c:layout>
                <c:manualLayout>
                  <c:x val="4.890254007505257E-2"/>
                  <c:y val="-0.1673325556527656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100-4D9A-AAEB-EDDA60AEC372}"/>
                </c:ext>
              </c:extLst>
            </c:dLbl>
            <c:dLbl>
              <c:idx val="7"/>
              <c:layout>
                <c:manualLayout>
                  <c:x val="0.15922170885664091"/>
                  <c:y val="-1.001749781277339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100-4D9A-AAEB-EDDA60AEC372}"/>
                </c:ext>
              </c:extLst>
            </c:dLbl>
            <c:spPr>
              <a:noFill/>
              <a:ln w="2541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100-4D9A-AAEB-EDDA60AEC3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 w="25392">
          <a:noFill/>
        </a:ln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 w="25392">
              <a:noFill/>
            </a:ln>
          </c:spPr>
          <c:invertIfNegative val="0"/>
          <c:dLbls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E8-4AF9-8154-CE996BD9F16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 w="25392">
              <a:noFill/>
            </a:ln>
          </c:spPr>
          <c:invertIfNegative val="0"/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E8-4AF9-8154-CE996BD9F16C}"/>
                </c:ext>
              </c:extLst>
            </c:dLbl>
            <c:spPr>
              <a:noFill/>
              <a:ln w="25392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E8-4AF9-8154-CE996BD9F1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4259456"/>
        <c:axId val="94269440"/>
      </c:barChart>
      <c:catAx>
        <c:axId val="942594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2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69440"/>
        <c:crosses val="autoZero"/>
        <c:auto val="1"/>
        <c:lblAlgn val="ctr"/>
        <c:lblOffset val="100"/>
        <c:noMultiLvlLbl val="0"/>
      </c:catAx>
      <c:valAx>
        <c:axId val="94269440"/>
        <c:scaling>
          <c:orientation val="minMax"/>
        </c:scaling>
        <c:delete val="0"/>
        <c:axPos val="b"/>
        <c:majorGridlines>
          <c:spPr>
            <a:ln w="9522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2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259456"/>
        <c:crosses val="autoZero"/>
        <c:crossBetween val="between"/>
      </c:valAx>
      <c:spPr>
        <a:noFill/>
        <a:ln w="25392">
          <a:noFill/>
        </a:ln>
      </c:spPr>
    </c:plotArea>
    <c:legend>
      <c:legendPos val="b"/>
      <c:overlay val="0"/>
      <c:spPr>
        <a:noFill/>
        <a:ln w="25392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42</cp:revision>
  <cp:lastPrinted>2021-04-07T04:41:00Z</cp:lastPrinted>
  <dcterms:created xsi:type="dcterms:W3CDTF">2019-06-18T11:00:00Z</dcterms:created>
  <dcterms:modified xsi:type="dcterms:W3CDTF">2021-12-07T07:39:00Z</dcterms:modified>
</cp:coreProperties>
</file>