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43A" w:rsidRDefault="00EE343A" w:rsidP="00EE343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F27C2A" w:rsidRPr="00944EAD" w:rsidRDefault="00F27C2A" w:rsidP="00F27C2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44EAD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Приложение </w:t>
      </w:r>
    </w:p>
    <w:p w:rsidR="00F27C2A" w:rsidRPr="00944EAD" w:rsidRDefault="00F27C2A" w:rsidP="00F27C2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44EAD">
        <w:rPr>
          <w:rFonts w:ascii="Times New Roman" w:eastAsia="Times New Roman" w:hAnsi="Times New Roman" w:cs="Times New Roman"/>
          <w:i/>
          <w:sz w:val="24"/>
          <w:szCs w:val="24"/>
        </w:rPr>
        <w:t>к письму от «___</w:t>
      </w:r>
      <w:r w:rsidR="00F0386B">
        <w:rPr>
          <w:rFonts w:ascii="Times New Roman" w:eastAsia="Times New Roman" w:hAnsi="Times New Roman" w:cs="Times New Roman"/>
          <w:i/>
          <w:sz w:val="24"/>
          <w:szCs w:val="24"/>
        </w:rPr>
        <w:t>»___________202</w:t>
      </w:r>
      <w:r w:rsidR="00EE343A">
        <w:rPr>
          <w:rFonts w:ascii="Times New Roman" w:eastAsia="Times New Roman" w:hAnsi="Times New Roman" w:cs="Times New Roman"/>
          <w:i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г.</w:t>
      </w:r>
      <w:r w:rsidRPr="00944EAD">
        <w:rPr>
          <w:rFonts w:ascii="Times New Roman" w:eastAsia="Times New Roman" w:hAnsi="Times New Roman" w:cs="Times New Roman"/>
          <w:i/>
          <w:sz w:val="24"/>
          <w:szCs w:val="24"/>
        </w:rPr>
        <w:t xml:space="preserve"> № ____</w:t>
      </w:r>
    </w:p>
    <w:p w:rsidR="00F27C2A" w:rsidRDefault="00F27C2A" w:rsidP="00F27C2A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6"/>
          <w:szCs w:val="26"/>
          <w:lang w:eastAsia="en-US"/>
        </w:rPr>
      </w:pPr>
    </w:p>
    <w:p w:rsidR="00F27C2A" w:rsidRDefault="00F27C2A" w:rsidP="00F27C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7C2A" w:rsidRPr="00600EC9" w:rsidRDefault="00F27C2A" w:rsidP="00F27C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0EC9">
        <w:rPr>
          <w:rFonts w:ascii="Times New Roman" w:hAnsi="Times New Roman"/>
          <w:b/>
          <w:sz w:val="28"/>
          <w:szCs w:val="28"/>
        </w:rPr>
        <w:t xml:space="preserve">Информационный листок </w:t>
      </w:r>
    </w:p>
    <w:p w:rsidR="002618FA" w:rsidRDefault="00F27C2A" w:rsidP="00D70B8D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00EC9">
        <w:rPr>
          <w:rFonts w:ascii="Times New Roman" w:hAnsi="Times New Roman"/>
          <w:b/>
          <w:sz w:val="28"/>
          <w:szCs w:val="28"/>
        </w:rPr>
        <w:t xml:space="preserve">о состоянии детского дорожно-транспортного травматизма на территории оперативного обслуживания </w:t>
      </w:r>
    </w:p>
    <w:p w:rsidR="00F0386B" w:rsidRDefault="00F27C2A" w:rsidP="00D70B8D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00EC9">
        <w:rPr>
          <w:rFonts w:ascii="Times New Roman" w:hAnsi="Times New Roman"/>
          <w:b/>
          <w:sz w:val="28"/>
          <w:szCs w:val="28"/>
        </w:rPr>
        <w:t>ОГИБД</w:t>
      </w:r>
      <w:r w:rsidR="00F0386B">
        <w:rPr>
          <w:rFonts w:ascii="Times New Roman" w:hAnsi="Times New Roman"/>
          <w:b/>
          <w:sz w:val="28"/>
          <w:szCs w:val="28"/>
        </w:rPr>
        <w:t xml:space="preserve">Д МО МВД России «Заречный» </w:t>
      </w:r>
    </w:p>
    <w:p w:rsidR="00D70B8D" w:rsidRPr="00D70B8D" w:rsidRDefault="002618FA" w:rsidP="00D70B8D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 xml:space="preserve">за  </w:t>
      </w:r>
      <w:r w:rsidR="00385C1C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 месяца 2021</w:t>
      </w:r>
      <w:r w:rsidR="00F27C2A" w:rsidRPr="00600EC9">
        <w:rPr>
          <w:rFonts w:ascii="Times New Roman" w:hAnsi="Times New Roman"/>
          <w:b/>
          <w:sz w:val="28"/>
          <w:szCs w:val="28"/>
        </w:rPr>
        <w:t xml:space="preserve"> год</w:t>
      </w:r>
      <w:r w:rsidR="00F0386B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</w:p>
    <w:p w:rsidR="00EE343A" w:rsidRDefault="00EE343A" w:rsidP="00EE343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2618FA" w:rsidRPr="002618FA" w:rsidRDefault="002618FA" w:rsidP="002618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618F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За 3 месяца 2021 года на территории обслуживаемой ОГИБДД МО МВД России «Заречный» дорожно-транспортных происшествий с участием несовершеннолетних в возрасте до 16 лет зарегистрировано 3 ДТП (0; +200%). </w:t>
      </w:r>
    </w:p>
    <w:p w:rsidR="002618FA" w:rsidRPr="002618FA" w:rsidRDefault="002618FA" w:rsidP="002618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2618F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На территории Белоярского городского округа за 3 месяца 2021 года с участием детей до 16 лет зарегистрировано 1 ДТП (1), в котором пострадал 1 ребенок.</w:t>
      </w:r>
    </w:p>
    <w:p w:rsidR="002618FA" w:rsidRPr="002618FA" w:rsidRDefault="002618FA" w:rsidP="002618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618F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 территории городского округа Заречный за 3 месяца 2021 года с участием детей до 16 лет зарегистрировано 2 ДТП (0; + 200%), в которых 2 ребенка погибли и 1 ребенок получил травмы. </w:t>
      </w:r>
    </w:p>
    <w:p w:rsidR="002618FA" w:rsidRPr="002618FA" w:rsidRDefault="002618FA" w:rsidP="002618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618F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 территории городского округа Верхнее Дуброво за 3 месяца 2021 года ДТП не  зарегистрировано (0). </w:t>
      </w:r>
    </w:p>
    <w:p w:rsidR="002618FA" w:rsidRPr="002618FA" w:rsidRDefault="002618FA" w:rsidP="002618FA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2618FA" w:rsidRPr="002618FA" w:rsidRDefault="002618FA" w:rsidP="002618FA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2618FA" w:rsidRPr="002618FA" w:rsidRDefault="002618FA" w:rsidP="002618FA">
      <w:pPr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b/>
          <w:sz w:val="28"/>
          <w:szCs w:val="28"/>
        </w:rPr>
        <w:t>Анализ</w:t>
      </w:r>
    </w:p>
    <w:p w:rsidR="002618FA" w:rsidRPr="002618FA" w:rsidRDefault="002618FA" w:rsidP="002618FA">
      <w:pPr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b/>
          <w:sz w:val="28"/>
          <w:szCs w:val="28"/>
        </w:rPr>
        <w:t>состояния детского дорожно-транспортного травматизма</w:t>
      </w:r>
    </w:p>
    <w:p w:rsidR="002618FA" w:rsidRPr="002618FA" w:rsidRDefault="002618FA" w:rsidP="002618FA">
      <w:pPr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b/>
          <w:sz w:val="28"/>
          <w:szCs w:val="28"/>
        </w:rPr>
        <w:t xml:space="preserve">на территории Свердловской области за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 </w:t>
      </w:r>
      <w:r w:rsidRPr="002618FA">
        <w:rPr>
          <w:rFonts w:ascii="Times New Roman" w:eastAsia="Times New Roman" w:hAnsi="Times New Roman" w:cs="Times New Roman"/>
          <w:b/>
          <w:sz w:val="28"/>
          <w:szCs w:val="28"/>
        </w:rPr>
        <w:t>месяца 2021 года</w:t>
      </w:r>
    </w:p>
    <w:p w:rsidR="002618FA" w:rsidRPr="002618FA" w:rsidRDefault="002618FA" w:rsidP="002618FA">
      <w:pPr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18FA" w:rsidRPr="002618FA" w:rsidRDefault="002618FA" w:rsidP="002618FA">
      <w:pPr>
        <w:suppressAutoHyphens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2667" distL="114300" distR="114300" simplePos="0" relativeHeight="251660288" behindDoc="1" locked="0" layoutInCell="1" allowOverlap="1">
            <wp:simplePos x="0" y="0"/>
            <wp:positionH relativeFrom="margin">
              <wp:posOffset>-654050</wp:posOffset>
            </wp:positionH>
            <wp:positionV relativeFrom="paragraph">
              <wp:posOffset>216535</wp:posOffset>
            </wp:positionV>
            <wp:extent cx="3176270" cy="2889250"/>
            <wp:effectExtent l="0" t="0" r="1905" b="0"/>
            <wp:wrapTight wrapText="bothSides">
              <wp:wrapPolygon edited="0">
                <wp:start x="0" y="0"/>
                <wp:lineTo x="0" y="21529"/>
                <wp:lineTo x="21488" y="21529"/>
                <wp:lineTo x="21488" y="0"/>
                <wp:lineTo x="0" y="0"/>
              </wp:wrapPolygon>
            </wp:wrapTight>
            <wp:docPr id="21" name="Диаграмма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18FA" w:rsidRPr="002618FA" w:rsidRDefault="002618FA" w:rsidP="002618FA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территории Свердловской области </w:t>
      </w: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 два месяца 2021 г. зарегистрировано 45</w:t>
      </w: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(44; +2,3%) ДТП с участием несовершеннолетних, в которых 51 (54; </w:t>
      </w: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-5,6%) детей получили травмы различной степени тяжести и 3(0; +100%) погибли.</w:t>
      </w:r>
    </w:p>
    <w:p w:rsidR="002618FA" w:rsidRPr="002618FA" w:rsidRDefault="002618FA" w:rsidP="002618FA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sz w:val="28"/>
          <w:szCs w:val="28"/>
        </w:rPr>
        <w:t xml:space="preserve">Дорожно-транспортные происшествия, в результате которых пострадали дети, составили 8% от общего количества учетных дорожных аварий. Таким образом, дети стали участниками каждого 11 ДТП </w:t>
      </w:r>
      <w:r w:rsidRPr="002618FA">
        <w:rPr>
          <w:rFonts w:ascii="Times New Roman" w:eastAsia="Times New Roman" w:hAnsi="Times New Roman" w:cs="Times New Roman"/>
          <w:sz w:val="28"/>
          <w:szCs w:val="28"/>
        </w:rPr>
        <w:br/>
        <w:t>с пострадавшими в регионе.</w:t>
      </w:r>
    </w:p>
    <w:p w:rsidR="002618FA" w:rsidRPr="002618FA" w:rsidRDefault="002618FA" w:rsidP="002618FA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sz w:val="28"/>
          <w:szCs w:val="28"/>
        </w:rPr>
        <w:t xml:space="preserve">ДТП с погибшими детьми зарегистрированы в Каменске-Уральском (+100%) и </w:t>
      </w:r>
      <w:proofErr w:type="spellStart"/>
      <w:r w:rsidRPr="002618FA">
        <w:rPr>
          <w:rFonts w:ascii="Times New Roman" w:eastAsia="Times New Roman" w:hAnsi="Times New Roman" w:cs="Times New Roman"/>
          <w:sz w:val="28"/>
          <w:szCs w:val="28"/>
        </w:rPr>
        <w:t>Ивделе</w:t>
      </w:r>
      <w:proofErr w:type="spellEnd"/>
      <w:r w:rsidRPr="002618FA">
        <w:rPr>
          <w:rFonts w:ascii="Times New Roman" w:eastAsia="Times New Roman" w:hAnsi="Times New Roman" w:cs="Times New Roman"/>
          <w:sz w:val="28"/>
          <w:szCs w:val="28"/>
        </w:rPr>
        <w:t xml:space="preserve"> (+100%):</w:t>
      </w:r>
    </w:p>
    <w:p w:rsidR="002618FA" w:rsidRPr="002618FA" w:rsidRDefault="002618FA" w:rsidP="002618FA">
      <w:pPr>
        <w:autoSpaceDE w:val="0"/>
        <w:autoSpaceDN w:val="0"/>
        <w:adjustRightInd w:val="0"/>
        <w:spacing w:after="0" w:line="240" w:lineRule="auto"/>
        <w:ind w:left="-709" w:firstLine="567"/>
        <w:jc w:val="both"/>
        <w:outlineLvl w:val="1"/>
        <w:rPr>
          <w:rFonts w:ascii="Times New Roman" w:eastAsia="Times New Roman" w:hAnsi="Times New Roman" w:cs="Times New Roman"/>
          <w:i/>
          <w:iCs/>
          <w:sz w:val="27"/>
          <w:szCs w:val="27"/>
        </w:rPr>
      </w:pPr>
      <w:r w:rsidRPr="002618FA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02.01.2021 года около 15 часов в </w:t>
      </w:r>
      <w:r w:rsidRPr="002618F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Каменском </w:t>
      </w:r>
      <w:r w:rsidRPr="002618FA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городском округе, с. </w:t>
      </w:r>
      <w:proofErr w:type="spellStart"/>
      <w:r w:rsidRPr="002618FA">
        <w:rPr>
          <w:rFonts w:ascii="Times New Roman" w:eastAsia="Times New Roman" w:hAnsi="Times New Roman" w:cs="Times New Roman"/>
          <w:i/>
          <w:iCs/>
          <w:sz w:val="27"/>
          <w:szCs w:val="27"/>
        </w:rPr>
        <w:t>Рыбниковское</w:t>
      </w:r>
      <w:proofErr w:type="spellEnd"/>
      <w:r w:rsidRPr="002618FA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, напротив дома №22 по ул.  Советская, водитель автомобиля «Митсубиси ASX» допустил наезд на 2-х летнего пешехода, который перебегал проезжую часть дороги перед близко идущим транспортным средством в неустановленном месте слева </w:t>
      </w:r>
      <w:r w:rsidRPr="002618FA">
        <w:rPr>
          <w:rFonts w:ascii="Times New Roman" w:eastAsia="Times New Roman" w:hAnsi="Times New Roman" w:cs="Times New Roman"/>
          <w:i/>
          <w:iCs/>
          <w:sz w:val="27"/>
          <w:szCs w:val="27"/>
        </w:rPr>
        <w:lastRenderedPageBreak/>
        <w:t xml:space="preserve">направо по ходу движения </w:t>
      </w:r>
      <w:r w:rsidRPr="002618F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автомобиля. </w:t>
      </w:r>
      <w:r w:rsidRPr="002618FA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От полученных травм мальчик скончался на месте происшествия. </w:t>
      </w:r>
      <w:r w:rsidRPr="002618FA">
        <w:rPr>
          <w:rFonts w:ascii="Times New Roman" w:eastAsia="Times New Roman" w:hAnsi="Times New Roman" w:cs="Times New Roman"/>
          <w:i/>
          <w:iCs/>
          <w:sz w:val="27"/>
          <w:szCs w:val="27"/>
        </w:rPr>
        <w:t>Погибший находился в сопровождении 14-летней сестры</w:t>
      </w:r>
      <w:r w:rsidRPr="002618F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и еще троих</w:t>
      </w:r>
      <w:r w:rsidRPr="002618FA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 детей. После прогулки у озера ребята возвращались домой. Двигались по краю проезжей части навстречу движению. Заметив приближающийся автомобиль, дети остановились, сестра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 </w:t>
      </w:r>
      <w:proofErr w:type="spellStart"/>
      <w:r w:rsidRPr="002618FA">
        <w:rPr>
          <w:rFonts w:ascii="Times New Roman" w:eastAsia="Times New Roman" w:hAnsi="Times New Roman" w:cs="Times New Roman"/>
          <w:i/>
          <w:iCs/>
          <w:sz w:val="27"/>
          <w:szCs w:val="27"/>
        </w:rPr>
        <w:t>Световозвращающие</w:t>
      </w:r>
      <w:proofErr w:type="spellEnd"/>
      <w:r w:rsidRPr="002618FA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 элементы на одежде детей отсутствовали.</w:t>
      </w:r>
    </w:p>
    <w:p w:rsidR="002618FA" w:rsidRPr="002618FA" w:rsidRDefault="002618FA" w:rsidP="002618FA">
      <w:pPr>
        <w:autoSpaceDE w:val="0"/>
        <w:autoSpaceDN w:val="0"/>
        <w:adjustRightInd w:val="0"/>
        <w:spacing w:after="0" w:line="240" w:lineRule="auto"/>
        <w:ind w:left="-709" w:firstLine="567"/>
        <w:jc w:val="both"/>
        <w:outlineLvl w:val="1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2618FA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07.02.2021 года около 10.00 часов в </w:t>
      </w:r>
      <w:proofErr w:type="spellStart"/>
      <w:r w:rsidRPr="002618FA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Ивдельском</w:t>
      </w:r>
      <w:proofErr w:type="spellEnd"/>
      <w:r w:rsidRPr="002618FA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районе на 116 км автодороги </w:t>
      </w:r>
      <w:proofErr w:type="spellStart"/>
      <w:r w:rsidRPr="002618FA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Ивдель</w:t>
      </w:r>
      <w:proofErr w:type="spellEnd"/>
      <w:r w:rsidRPr="002618FA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-ХМАО водитель автомобиля «Тойота </w:t>
      </w:r>
      <w:proofErr w:type="spellStart"/>
      <w:r w:rsidRPr="002618FA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ЛендКрузер</w:t>
      </w:r>
      <w:proofErr w:type="spellEnd"/>
      <w:r w:rsidRPr="002618FA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», при совершении обгона не убедился в безопасности маневра, не учел метеорологические условия (метель), допустил столкновение с автомобилем «</w:t>
      </w:r>
      <w:proofErr w:type="spellStart"/>
      <w:r w:rsidRPr="002618FA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Киа</w:t>
      </w:r>
      <w:proofErr w:type="spellEnd"/>
      <w:r w:rsidRPr="002618FA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Сид», который двигался во встречном направлении. </w:t>
      </w:r>
      <w:r w:rsidRPr="002618FA">
        <w:rPr>
          <w:rFonts w:ascii="Times New Roman" w:eastAsia="Times New Roman" w:hAnsi="Times New Roman" w:cs="Times New Roman"/>
          <w:i/>
          <w:sz w:val="27"/>
          <w:szCs w:val="27"/>
        </w:rPr>
        <w:t>В результате ДТП погибла 8 –летняя девочка, пассажир автомобиля «</w:t>
      </w:r>
      <w:proofErr w:type="spellStart"/>
      <w:r w:rsidRPr="002618FA">
        <w:rPr>
          <w:rFonts w:ascii="Times New Roman" w:eastAsia="Times New Roman" w:hAnsi="Times New Roman" w:cs="Times New Roman"/>
          <w:i/>
          <w:sz w:val="27"/>
          <w:szCs w:val="27"/>
        </w:rPr>
        <w:t>Киа</w:t>
      </w:r>
      <w:proofErr w:type="spellEnd"/>
      <w:r w:rsidRPr="002618FA">
        <w:rPr>
          <w:rFonts w:ascii="Times New Roman" w:eastAsia="Times New Roman" w:hAnsi="Times New Roman" w:cs="Times New Roman"/>
          <w:i/>
          <w:sz w:val="27"/>
          <w:szCs w:val="27"/>
        </w:rPr>
        <w:t xml:space="preserve"> Сид», которая находилась на заднем пассажирском сидении. Ее 10 летняя сестра, которая в момент аварии сидела рядом, скончалась во время транспортировки в лечебное учреждение. В автомобиле девочки находились вместе с родителями, все были пристегнуты ремнями безопасности. Семья направлялась из </w:t>
      </w:r>
      <w:proofErr w:type="spellStart"/>
      <w:r w:rsidRPr="002618FA">
        <w:rPr>
          <w:rFonts w:ascii="Times New Roman" w:eastAsia="Times New Roman" w:hAnsi="Times New Roman" w:cs="Times New Roman"/>
          <w:i/>
          <w:sz w:val="27"/>
          <w:szCs w:val="27"/>
        </w:rPr>
        <w:t>Югорска</w:t>
      </w:r>
      <w:proofErr w:type="spellEnd"/>
      <w:r w:rsidRPr="002618FA">
        <w:rPr>
          <w:rFonts w:ascii="Times New Roman" w:eastAsia="Times New Roman" w:hAnsi="Times New Roman" w:cs="Times New Roman"/>
          <w:i/>
          <w:sz w:val="27"/>
          <w:szCs w:val="27"/>
        </w:rPr>
        <w:t xml:space="preserve"> в Екатеринбург на отдых. Водитель «</w:t>
      </w:r>
      <w:proofErr w:type="spellStart"/>
      <w:r w:rsidRPr="002618FA">
        <w:rPr>
          <w:rFonts w:ascii="Times New Roman" w:eastAsia="Times New Roman" w:hAnsi="Times New Roman" w:cs="Times New Roman"/>
          <w:i/>
          <w:sz w:val="27"/>
          <w:szCs w:val="27"/>
        </w:rPr>
        <w:t>Киа</w:t>
      </w:r>
      <w:proofErr w:type="spellEnd"/>
      <w:r w:rsidRPr="002618FA">
        <w:rPr>
          <w:rFonts w:ascii="Times New Roman" w:eastAsia="Times New Roman" w:hAnsi="Times New Roman" w:cs="Times New Roman"/>
          <w:i/>
          <w:sz w:val="27"/>
          <w:szCs w:val="27"/>
        </w:rPr>
        <w:t xml:space="preserve"> Сид», отец девочек, скончался на 12 сутки после ДТП, не приходя в сознание.</w:t>
      </w:r>
    </w:p>
    <w:p w:rsidR="002618FA" w:rsidRPr="002618FA" w:rsidRDefault="002618FA" w:rsidP="002618FA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В 14 муниципальных образованиях Свердловской области отмечается рост аварийности с участием несовершеннолетних. На 150%</w:t>
      </w:r>
      <w:r w:rsidRPr="002618FA">
        <w:rPr>
          <w:rFonts w:ascii="Times New Roman" w:eastAsia="Times New Roman" w:hAnsi="Times New Roman" w:cs="Times New Roman"/>
          <w:sz w:val="28"/>
          <w:szCs w:val="28"/>
        </w:rPr>
        <w:t xml:space="preserve">увеличилось количество ДТП </w:t>
      </w: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Каменске-</w:t>
      </w:r>
      <w:proofErr w:type="gramStart"/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Уральском(</w:t>
      </w:r>
      <w:proofErr w:type="gramEnd"/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5 ДТП); на 100% в Заречном, Туринске (по 2 ДТП),</w:t>
      </w:r>
      <w:proofErr w:type="spellStart"/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Артях</w:t>
      </w:r>
      <w:proofErr w:type="spellEnd"/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Березовском, </w:t>
      </w:r>
      <w:proofErr w:type="spellStart"/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Ивделе</w:t>
      </w:r>
      <w:proofErr w:type="spellEnd"/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Краснотурьинске, Невьянске, </w:t>
      </w:r>
      <w:proofErr w:type="spellStart"/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р.п.Пышма</w:t>
      </w:r>
      <w:proofErr w:type="spellEnd"/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, Ревде, Серове, Сысерти, Качканаре (по 1 ДТП); на 25% в Екатеринбурге (20 ДТП).</w:t>
      </w:r>
    </w:p>
    <w:p w:rsidR="002618FA" w:rsidRPr="002618FA" w:rsidRDefault="002618FA" w:rsidP="002618FA">
      <w:pPr>
        <w:spacing w:after="0" w:line="240" w:lineRule="auto"/>
        <w:ind w:left="-709"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6134100" cy="3495675"/>
            <wp:effectExtent l="0" t="0" r="0" b="0"/>
            <wp:docPr id="18" name="Диаграмма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40% (21) пострадавших в ДТП детей приходится на среднее школьное звено, 31% (17) на начальную школу и 29% (16) на дошкольный возраст, при этом большая часть из них пострадала в качестве пассажиров транспортных средств. </w:t>
      </w: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7 случаев ДТП с пострадавшими детьми-пассажирами произошли по причине нарушения ПДД РФ водителем, в чьем автомобиле находились дети.</w:t>
      </w:r>
    </w:p>
    <w:p w:rsidR="002618FA" w:rsidRPr="002618FA" w:rsidRDefault="002618FA" w:rsidP="002618F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3048000" cy="2257425"/>
            <wp:effectExtent l="0" t="0" r="0" b="0"/>
            <wp:docPr id="17" name="Диаграмма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3038475" cy="2257425"/>
            <wp:effectExtent l="0" t="0" r="0" b="0"/>
            <wp:docPr id="16" name="Диаграмма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sz w:val="28"/>
          <w:szCs w:val="28"/>
        </w:rPr>
        <w:t>На 3% (36) произошло снижение количества числа ДТП по причине нарушения ПДД РФ водителями автотранспортных средств, на 8,5% (43) раненых в них детей. При этом с погибшими детьми выросло на 100 % (2).</w:t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18FA" w:rsidRPr="002618FA" w:rsidRDefault="002618FA" w:rsidP="002618FA">
      <w:pPr>
        <w:spacing w:after="0" w:line="240" w:lineRule="auto"/>
        <w:ind w:left="-709" w:firstLine="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6286500" cy="1666875"/>
            <wp:effectExtent l="0" t="0" r="0" b="0"/>
            <wp:docPr id="15" name="Диаграм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55% ДТП (27) произошли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 участников дорожного движения ухудшается видимость, возрастает тормозной и остановочный путь у транспортных средств. </w:t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18FA" w:rsidRPr="002618FA" w:rsidRDefault="002618FA" w:rsidP="002618F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6238875" cy="1838325"/>
            <wp:effectExtent l="0" t="0" r="0" b="0"/>
            <wp:docPr id="14" name="Диаграмма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618FA" w:rsidRPr="002618FA" w:rsidRDefault="002618FA" w:rsidP="002618FA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70% (35) происшествий с участием несовершеннолетних произошли </w:t>
      </w: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 период с 12 ч. 00 мин. до 21 ч. 00 мин., такая тенденция связана с активным пребыванием детей в это время на улице и интенсивностью транспорта. Максимальные значения аварийности зафиксированы с 15 до 18 ч. 00 мин. (15 ДТП, 15 ранены, </w:t>
      </w: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 погиб), когда дети возвращаются домой из образовательных организаций, учреждений дополнительного образования, находятся на улице и проезжей части </w:t>
      </w: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без сопровождения взрослых. Дорожные аварии с погибшими детьми зарегистрированы в выходные дни.</w:t>
      </w:r>
    </w:p>
    <w:p w:rsidR="002618FA" w:rsidRPr="002618FA" w:rsidRDefault="002618FA" w:rsidP="002618F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115050" cy="2428875"/>
            <wp:effectExtent l="0" t="0" r="0" b="0"/>
            <wp:docPr id="13" name="Диаграмма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2618FA" w:rsidRPr="002618FA" w:rsidRDefault="002618FA" w:rsidP="002618F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187325</wp:posOffset>
            </wp:positionV>
            <wp:extent cx="2637155" cy="1524000"/>
            <wp:effectExtent l="0" t="0" r="0" b="0"/>
            <wp:wrapSquare wrapText="bothSides"/>
            <wp:docPr id="20" name="Рисунок 20" descr="D:\Кравченко\Анализ ДДТТ\Картинки\куш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D:\Кравченко\Анализ ДДТТ\Картинки\кушва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18F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С участием </w:t>
      </w:r>
      <w:r w:rsidRPr="002618FA"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w:t>детей - пассажиров</w:t>
      </w:r>
      <w:r w:rsidRPr="002618FA">
        <w:rPr>
          <w:rFonts w:ascii="Times New Roman" w:eastAsia="Times New Roman" w:hAnsi="Times New Roman" w:cs="Times New Roman"/>
          <w:sz w:val="28"/>
          <w:szCs w:val="28"/>
        </w:rPr>
        <w:t>зарегистрировано 24</w:t>
      </w: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(28</w:t>
      </w:r>
      <w:r w:rsidRPr="002618FA">
        <w:rPr>
          <w:rFonts w:ascii="Times New Roman" w:eastAsia="Times New Roman" w:hAnsi="Times New Roman" w:cs="Times New Roman"/>
          <w:sz w:val="28"/>
          <w:szCs w:val="28"/>
        </w:rPr>
        <w:t>; -17,2%) ДТП, в которых пострадал31 (37; -18,4%) ребенок и 2 (0; +100%) погибли. Из них в возрасте до 12 лет травмированы 18</w:t>
      </w: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(28</w:t>
      </w:r>
      <w:r w:rsidRPr="002618FA">
        <w:rPr>
          <w:rFonts w:ascii="Times New Roman" w:eastAsia="Times New Roman" w:hAnsi="Times New Roman" w:cs="Times New Roman"/>
          <w:sz w:val="28"/>
          <w:szCs w:val="28"/>
        </w:rPr>
        <w:t xml:space="preserve">; -25%). </w:t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sz w:val="28"/>
          <w:szCs w:val="28"/>
        </w:rPr>
        <w:t>Доля ДТП с участием детей - пассажиров от общего показателя аварийности с участием детей составила 47%.</w:t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618FA" w:rsidRPr="002618FA" w:rsidRDefault="002618FA" w:rsidP="002618FA">
      <w:pPr>
        <w:spacing w:after="0" w:line="240" w:lineRule="auto"/>
        <w:ind w:left="-709" w:firstLine="426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4133850" cy="2000250"/>
            <wp:effectExtent l="0" t="0" r="0" b="0"/>
            <wp:docPr id="12" name="Диаграмма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sz w:val="28"/>
          <w:szCs w:val="28"/>
        </w:rPr>
        <w:t xml:space="preserve">При анализе ДТП, в которых пострадали дети-пассажиры, установлено2нарушения водителями правил перевозки детей, в которых травмированы 4 ребенка </w:t>
      </w:r>
      <w:r w:rsidRPr="002618F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(3; </w:t>
      </w:r>
      <w:r w:rsidRPr="002618FA">
        <w:rPr>
          <w:rFonts w:ascii="Times New Roman" w:eastAsia="Times New Roman" w:hAnsi="Times New Roman" w:cs="Times New Roman"/>
          <w:sz w:val="28"/>
          <w:szCs w:val="28"/>
        </w:rPr>
        <w:t>+33,3%):Екатеринбург и Ревда по – 1.Двух детей перевозили на заднем пассажирском сидении в детских удерживающих устройствах, не соответствующих росту и весу юных пассажиров, еще двоих детей перевозили без детских удерживающих устройств и не пристегнутыми ремнями безопасности.</w:t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705475" cy="2238375"/>
            <wp:effectExtent l="0" t="0" r="0" b="0"/>
            <wp:docPr id="11" name="Диаграмма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По месту расположения в транспортном средстве большая часть пострадавших приходится на заднее пассажирское сидение справа и слева (по 14).</w:t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Подавляющее большинство происшествий, в которых пострадали дети-пассажиры- это столкновения транспортных средств (28; -28%), количество травмированных в них детей снизилось на 30% (26), при этом количество погибших увеличилось на 100% (2). </w:t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Устойчивый рост количества ДТП с участием детей-пассажиров зарегистрирован с 12.00 до 21.00 (17 ДТП и 24 ранены), с максимальными значениями аварийности в период с 12.00 до 15.00 (9 ДТП, 13 ранены). Большинство аварий произошло в воскресенье (7 ДТП, 10 ранены, 2 погибли) и в понедельник (4 ДТП, 4 ранены).</w:t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618FA" w:rsidRPr="002618FA" w:rsidRDefault="002618FA" w:rsidP="002618FA">
      <w:pPr>
        <w:spacing w:after="0" w:line="240" w:lineRule="auto"/>
        <w:ind w:left="-709"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781675" cy="1885950"/>
            <wp:effectExtent l="0" t="0" r="0" b="0"/>
            <wp:docPr id="10" name="Диаграмма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автомобильных дорогах, расположенных в черте населенных пунктов, зарегистрировано 35 ДТП (+17%), в которых пострадали 38 (+12%) детей </w:t>
      </w: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1 погиб (+100%). Увеличение количества ДТП в населенных пунктах произошло в Екатеринбурге – 20 (+25%); Каменске-Уральском – 5(+100%); Туринске – 2 (+100%); </w:t>
      </w:r>
      <w:proofErr w:type="spellStart"/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Артях</w:t>
      </w:r>
      <w:proofErr w:type="spellEnd"/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Березовском, Заречном, Серове и Пригородном районе </w:t>
      </w:r>
      <w:proofErr w:type="spellStart"/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Н.Тагила</w:t>
      </w:r>
      <w:proofErr w:type="spellEnd"/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1 (+100%). На автомобильных дорогах вне населенных пунктов зарегистрировано 10 ДТП (-28,6%), травмированы 13 (-35%) детей и 2 погибли (+100%). Из них, на дорогах федерального значения зарегистрировано 5 ДТП (+150%), в которых пострадали 9 детей (+200%). На автомобильных дорогах регионального значения произошло9 ДТП (-31%), в которых 7 (-61%) детей получили травмы различной степени тяжести и 3 погибли (+100%). На дорогах местного значения зарегистрировано 25 ДТП (- 7,4%), в которых травмированы 29 (-6,5%) детей.</w:t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18FA" w:rsidRPr="002618FA" w:rsidRDefault="002618FA" w:rsidP="002618FA">
      <w:pPr>
        <w:spacing w:after="0" w:line="240" w:lineRule="auto"/>
        <w:ind w:left="-709"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895975" cy="2495550"/>
            <wp:effectExtent l="0" t="0" r="0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19" name="Рисунок 19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18FA">
        <w:rPr>
          <w:rFonts w:ascii="Times New Roman" w:eastAsia="Times New Roman" w:hAnsi="Times New Roman" w:cs="Times New Roman"/>
          <w:sz w:val="28"/>
          <w:szCs w:val="28"/>
        </w:rPr>
        <w:t>С участием</w:t>
      </w:r>
      <w:r w:rsidRPr="002618F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детей-пешеходов </w:t>
      </w:r>
      <w:r w:rsidRPr="002618FA">
        <w:rPr>
          <w:rFonts w:ascii="Times New Roman" w:eastAsia="Times New Roman" w:hAnsi="Times New Roman" w:cs="Times New Roman"/>
          <w:sz w:val="28"/>
          <w:szCs w:val="28"/>
        </w:rPr>
        <w:t xml:space="preserve">зарегистрировано </w:t>
      </w:r>
      <w:r w:rsidRPr="002618FA">
        <w:rPr>
          <w:rFonts w:ascii="Times New Roman" w:eastAsia="Times New Roman" w:hAnsi="Times New Roman" w:cs="Times New Roman"/>
          <w:sz w:val="28"/>
          <w:szCs w:val="28"/>
        </w:rPr>
        <w:br/>
        <w:t>21ДТП (</w:t>
      </w: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13;</w:t>
      </w:r>
      <w:r w:rsidRPr="002618FA">
        <w:rPr>
          <w:rFonts w:ascii="Times New Roman" w:eastAsia="Times New Roman" w:hAnsi="Times New Roman" w:cs="Times New Roman"/>
          <w:sz w:val="28"/>
          <w:szCs w:val="28"/>
        </w:rPr>
        <w:t>+40%), в которых пострадали 20 (</w:t>
      </w: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14;</w:t>
      </w:r>
      <w:r w:rsidRPr="002618FA">
        <w:rPr>
          <w:rFonts w:ascii="Times New Roman" w:eastAsia="Times New Roman" w:hAnsi="Times New Roman" w:cs="Times New Roman"/>
          <w:sz w:val="28"/>
          <w:szCs w:val="28"/>
        </w:rPr>
        <w:t>+25%) детей</w:t>
      </w:r>
      <w:r w:rsidRPr="002618FA">
        <w:rPr>
          <w:rFonts w:ascii="Times New Roman" w:eastAsia="Times New Roman" w:hAnsi="Times New Roman" w:cs="Times New Roman"/>
          <w:sz w:val="28"/>
          <w:szCs w:val="28"/>
        </w:rPr>
        <w:br/>
        <w:t>и 1 погиб (+100%). От общего показателя аварийности с участием несовершеннолетних доля ДТП с участием детей- пешеходов составила 53%.</w:t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sz w:val="28"/>
          <w:szCs w:val="28"/>
        </w:rPr>
        <w:t>На 14% (8) увеличилось количество ДТП по собственной неосторожности несовершеннолетних пешеходов, в которых пострадали 7несовершеннолетних (уровень АППГ) и 1 ребенок погиб.</w:t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sz w:val="28"/>
          <w:szCs w:val="28"/>
        </w:rPr>
        <w:t xml:space="preserve">Каждый третий наезд на ребенка (7 ДТП) совершен на нерегулируемом пешеходном переходе. В таких происшествиях травмированы 7 юных </w:t>
      </w:r>
      <w:r w:rsidRPr="002618FA">
        <w:rPr>
          <w:rFonts w:ascii="Times New Roman" w:eastAsia="Times New Roman" w:hAnsi="Times New Roman" w:cs="Times New Roman"/>
          <w:sz w:val="28"/>
          <w:szCs w:val="28"/>
        </w:rPr>
        <w:br/>
        <w:t xml:space="preserve">пешеходов (-22%). </w:t>
      </w:r>
    </w:p>
    <w:p w:rsidR="002618FA" w:rsidRPr="002618FA" w:rsidRDefault="002618FA" w:rsidP="002618FA">
      <w:pPr>
        <w:spacing w:after="0" w:line="240" w:lineRule="auto"/>
        <w:ind w:left="-709" w:firstLine="72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257800" cy="1704975"/>
            <wp:effectExtent l="0" t="0" r="0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66% (5) увеличилось количество происшествий с детьми- пешеходами </w:t>
      </w: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 темное время суток, когда одним из сопутствующих факторов ДТП стало отсутствие у ребенка на верхней одежде или рюкзаке </w:t>
      </w:r>
      <w:proofErr w:type="spellStart"/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световозвращающих</w:t>
      </w:r>
      <w:proofErr w:type="spellEnd"/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элементов. </w:t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Участниками каждого второго происшествия (52%; 11) стали дети-пешеходы в возрасте 9-11 лет. Все наезды произошли в городах и населенных пунктах. Наибольшие показатели количества ДТП с участием детей-пешеходов зафиксированы в субботу (5 ДТП), при этом 1 ребенок погиб. Наименьшее количество наездов зарегистрированы в воскресенье и среду (по 2 ДТП).  По времени совершения самым опасным является с 16 до 19 часов (13 ДТП; 61%) с максимальными значениями в период с 16 до 18 часов (10 ДТП). Растет количество наездов и в период с 07 до 09 часов (4 ДТП), когда дети идут в школу. Минимальное количество ДТП по времени совершения произошло в период с 9 до 14 часов (1 ДТП) и с 19.00 до 07.00 (1 ДТП).</w:t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12 случаях ДТП (57%) произошли по маршрутам следования детей из дома в образовательную организацию и обратно. Данные участки входят в паспорта </w:t>
      </w: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дорожной безопасности образовательных организаций (не более 800 метров от образовательной организации).</w:t>
      </w:r>
    </w:p>
    <w:p w:rsidR="002618FA" w:rsidRPr="002618FA" w:rsidRDefault="002618FA" w:rsidP="002618FA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819775" cy="1495425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618FA" w:rsidRPr="002618FA" w:rsidRDefault="002618FA" w:rsidP="002618FA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рост количества ДТП на 2,3% и снижение количества раненых детей на 5,6%. При этом количество погибших выросло на 100%. </w:t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Подавляющее большинство происшествий произошло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Вина несовершеннолетних усматривается в 8 ДТП из 45 и составляет 15% от общего количества дорожных аварий с участием детей: Екатеринбург 3 (-40%),Каменск-Уральский 2 (1 погиб; +100%), Арти, Туринск, Заречный по 1 (+100%). Основными нарушениями ПДД РФ, допущенными юными пешеходами, стали переход проезжей части в неустановленном месте (5), неожиданный выход на проезжую </w:t>
      </w:r>
      <w:r w:rsidRPr="002618F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часть из-за стоящего транспортного средства (2) и нахождение на дороге без цели перехода (1).</w:t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618FA" w:rsidRPr="002618FA" w:rsidRDefault="002618FA" w:rsidP="002618FA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229225" cy="1657350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2618FA" w:rsidRPr="002618FA" w:rsidRDefault="002618FA" w:rsidP="002618FA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</w:p>
    <w:p w:rsidR="002618FA" w:rsidRPr="002618FA" w:rsidRDefault="002618FA" w:rsidP="002618FA">
      <w:pPr>
        <w:spacing w:after="0" w:line="240" w:lineRule="auto"/>
        <w:ind w:left="-709"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618FA" w:rsidRPr="002618FA" w:rsidRDefault="002618FA" w:rsidP="002618F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8FA">
        <w:rPr>
          <w:rFonts w:ascii="Times New Roman" w:eastAsia="Times New Roman" w:hAnsi="Times New Roman" w:cs="Times New Roman"/>
          <w:i/>
          <w:sz w:val="28"/>
          <w:szCs w:val="28"/>
        </w:rPr>
        <w:t>УГИБДД ГУ МВД России по Свердловской области</w:t>
      </w:r>
    </w:p>
    <w:p w:rsidR="002618FA" w:rsidRPr="002618FA" w:rsidRDefault="002618FA" w:rsidP="002618FA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2618FA" w:rsidRPr="002618FA" w:rsidRDefault="002618FA" w:rsidP="002618FA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2618FA" w:rsidRPr="002618FA" w:rsidRDefault="002618FA" w:rsidP="002618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F27C2A" w:rsidRPr="0071126E" w:rsidRDefault="00F27C2A" w:rsidP="00C72FE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27C2A" w:rsidRPr="0071126E" w:rsidSect="00D70B8D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90176"/>
    <w:multiLevelType w:val="multilevel"/>
    <w:tmpl w:val="00A078EA"/>
    <w:lvl w:ilvl="0">
      <w:start w:val="1"/>
      <w:numFmt w:val="decimal"/>
      <w:lvlText w:val="%1."/>
      <w:lvlJc w:val="left"/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0C73FB"/>
    <w:multiLevelType w:val="multilevel"/>
    <w:tmpl w:val="5DAE5080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CF7E0D"/>
    <w:multiLevelType w:val="multilevel"/>
    <w:tmpl w:val="95D6C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1D14B6"/>
    <w:multiLevelType w:val="multilevel"/>
    <w:tmpl w:val="95D6C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212A86"/>
    <w:multiLevelType w:val="multilevel"/>
    <w:tmpl w:val="856635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D26526C"/>
    <w:multiLevelType w:val="multilevel"/>
    <w:tmpl w:val="C8EA32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45631D50"/>
    <w:multiLevelType w:val="hybridMultilevel"/>
    <w:tmpl w:val="A3243B98"/>
    <w:lvl w:ilvl="0" w:tplc="874E22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C98074E"/>
    <w:multiLevelType w:val="multilevel"/>
    <w:tmpl w:val="C8EA32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646F43A2"/>
    <w:multiLevelType w:val="multilevel"/>
    <w:tmpl w:val="95D6C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0A0"/>
    <w:rsid w:val="001430EE"/>
    <w:rsid w:val="002618FA"/>
    <w:rsid w:val="00262166"/>
    <w:rsid w:val="002701C8"/>
    <w:rsid w:val="003470B1"/>
    <w:rsid w:val="00385C1C"/>
    <w:rsid w:val="004F1C5C"/>
    <w:rsid w:val="00523109"/>
    <w:rsid w:val="005306E2"/>
    <w:rsid w:val="005556FA"/>
    <w:rsid w:val="005F39A6"/>
    <w:rsid w:val="00600EC9"/>
    <w:rsid w:val="0071126E"/>
    <w:rsid w:val="00784A42"/>
    <w:rsid w:val="008B27D1"/>
    <w:rsid w:val="008D2F1D"/>
    <w:rsid w:val="00934953"/>
    <w:rsid w:val="00944EAD"/>
    <w:rsid w:val="00A245F8"/>
    <w:rsid w:val="00B11BCC"/>
    <w:rsid w:val="00B350A0"/>
    <w:rsid w:val="00BD1AEE"/>
    <w:rsid w:val="00C712C6"/>
    <w:rsid w:val="00C72FEC"/>
    <w:rsid w:val="00D70B8D"/>
    <w:rsid w:val="00DB1449"/>
    <w:rsid w:val="00DD1890"/>
    <w:rsid w:val="00EE343A"/>
    <w:rsid w:val="00F0386B"/>
    <w:rsid w:val="00F27C2A"/>
    <w:rsid w:val="00FD774D"/>
    <w:rsid w:val="00FF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BC1FE"/>
  <w15:docId w15:val="{24338131-E191-45F9-9AEA-6D3F004FF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9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39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F39A6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4"/>
    <w:rsid w:val="00944EAD"/>
    <w:rPr>
      <w:rFonts w:ascii="Lucida Sans Unicode" w:eastAsia="Lucida Sans Unicode" w:hAnsi="Lucida Sans Unicode" w:cs="Lucida Sans Unicode"/>
      <w:shd w:val="clear" w:color="auto" w:fill="FFFFFF"/>
    </w:rPr>
  </w:style>
  <w:style w:type="character" w:customStyle="1" w:styleId="1">
    <w:name w:val="Основной текст1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character" w:customStyle="1" w:styleId="2">
    <w:name w:val="Основной текст2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3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</w:rPr>
  </w:style>
  <w:style w:type="character" w:customStyle="1" w:styleId="a5">
    <w:name w:val="Основной текст + Полужирный"/>
    <w:basedOn w:val="a4"/>
    <w:rsid w:val="00944EAD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4"/>
    <w:rsid w:val="00944EAD"/>
    <w:pPr>
      <w:widowControl w:val="0"/>
      <w:shd w:val="clear" w:color="auto" w:fill="FFFFFF"/>
      <w:spacing w:after="60" w:line="0" w:lineRule="atLeast"/>
    </w:pPr>
    <w:rPr>
      <w:rFonts w:ascii="Lucida Sans Unicode" w:eastAsia="Lucida Sans Unicode" w:hAnsi="Lucida Sans Unicode" w:cs="Lucida Sans Unicode"/>
      <w:lang w:eastAsia="en-US"/>
    </w:rPr>
  </w:style>
  <w:style w:type="paragraph" w:styleId="a6">
    <w:name w:val="No Spacing"/>
    <w:uiPriority w:val="1"/>
    <w:qFormat/>
    <w:rsid w:val="00600EC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D2F1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4A4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0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8.xml"/><Relationship Id="rId18" Type="http://schemas.openxmlformats.org/officeDocument/2006/relationships/chart" Target="charts/chart1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chart" Target="charts/chart3.xml"/><Relationship Id="rId12" Type="http://schemas.openxmlformats.org/officeDocument/2006/relationships/image" Target="media/image1.jpeg"/><Relationship Id="rId1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chart" Target="charts/chart11.xml"/><Relationship Id="rId20" Type="http://schemas.openxmlformats.org/officeDocument/2006/relationships/chart" Target="charts/chart14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chart" Target="charts/chart10.xml"/><Relationship Id="rId10" Type="http://schemas.openxmlformats.org/officeDocument/2006/relationships/chart" Target="charts/chart6.xml"/><Relationship Id="rId19" Type="http://schemas.openxmlformats.org/officeDocument/2006/relationships/chart" Target="charts/chart13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9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0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1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2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3.xlsx"/><Relationship Id="rId1" Type="http://schemas.openxmlformats.org/officeDocument/2006/relationships/themeOverride" Target="../theme/themeOverride14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  <c:spPr>
        <a:noFill/>
        <a:ln w="9525">
          <a:noFill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4F81BD"/>
            </a:solidFill>
            <a:ln w="25513">
              <a:noFill/>
            </a:ln>
          </c:spPr>
          <c:invertIfNegative val="0"/>
          <c:dLbls>
            <c:spPr>
              <a:noFill/>
              <a:ln w="25513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4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44</c:v>
                </c:pt>
                <c:pt idx="1">
                  <c:v>0</c:v>
                </c:pt>
                <c:pt idx="2">
                  <c:v>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F2-4769-B29D-F39BF3B4A0D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504D"/>
            </a:solidFill>
            <a:ln w="25513">
              <a:noFill/>
            </a:ln>
          </c:spPr>
          <c:invertIfNegative val="0"/>
          <c:dLbls>
            <c:dLbl>
              <c:idx val="0"/>
              <c:layout>
                <c:manualLayout>
                  <c:x val="3.7617554858934185E-2"/>
                  <c:y val="-7.168458781362013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9F2-4769-B29D-F39BF3B4A0D3}"/>
                </c:ext>
              </c:extLst>
            </c:dLbl>
            <c:dLbl>
              <c:idx val="1"/>
              <c:layout>
                <c:manualLayout>
                  <c:x val="3.3437826541274848E-2"/>
                  <c:y val="-6.5710113073651839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9F2-4769-B29D-F39BF3B4A0D3}"/>
                </c:ext>
              </c:extLst>
            </c:dLbl>
            <c:dLbl>
              <c:idx val="2"/>
              <c:layout>
                <c:manualLayout>
                  <c:x val="3.3437826541274848E-2"/>
                  <c:y val="-1.64275282684129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9F2-4769-B29D-F39BF3B4A0D3}"/>
                </c:ext>
              </c:extLst>
            </c:dLbl>
            <c:spPr>
              <a:noFill/>
              <a:ln w="25513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4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45</c:v>
                </c:pt>
                <c:pt idx="1">
                  <c:v>3</c:v>
                </c:pt>
                <c:pt idx="2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9F2-4769-B29D-F39BF3B4A0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5300096"/>
        <c:axId val="125301888"/>
        <c:axId val="0"/>
      </c:bar3DChart>
      <c:catAx>
        <c:axId val="125300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9567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4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5301888"/>
        <c:crosses val="autoZero"/>
        <c:auto val="1"/>
        <c:lblAlgn val="ctr"/>
        <c:lblOffset val="100"/>
        <c:noMultiLvlLbl val="0"/>
      </c:catAx>
      <c:valAx>
        <c:axId val="125301888"/>
        <c:scaling>
          <c:orientation val="minMax"/>
        </c:scaling>
        <c:delete val="0"/>
        <c:axPos val="l"/>
        <c:majorGridlines>
          <c:spPr>
            <a:ln w="9567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67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4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5300096"/>
        <c:crosses val="autoZero"/>
        <c:crossBetween val="between"/>
      </c:valAx>
      <c:spPr>
        <a:noFill/>
        <a:ln w="25513">
          <a:noFill/>
        </a:ln>
      </c:spPr>
    </c:plotArea>
    <c:legend>
      <c:legendPos val="b"/>
      <c:overlay val="0"/>
      <c:spPr>
        <a:noFill/>
        <a:ln w="25513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4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6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1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4701250586"/>
          <c:y val="4.5430684800763536E-3"/>
        </c:manualLayout>
      </c:layout>
      <c:overlay val="0"/>
      <c:spPr>
        <a:noFill/>
        <a:ln w="25410">
          <a:noFill/>
        </a:ln>
      </c:spPr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1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B886-4CF5-B5A2-4AB353FEA0C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1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B886-4CF5-B5A2-4AB353FEA0C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1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B886-4CF5-B5A2-4AB353FEA0C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1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B886-4CF5-B5A2-4AB353FEA0C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1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B886-4CF5-B5A2-4AB353FEA0CA}"/>
              </c:ext>
            </c:extLst>
          </c:dPt>
          <c:dLbls>
            <c:dLbl>
              <c:idx val="0"/>
              <c:layout>
                <c:manualLayout>
                  <c:x val="0.10782638120648154"/>
                  <c:y val="-6.1695511411327383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886-4CF5-B5A2-4AB353FEA0CA}"/>
                </c:ext>
              </c:extLst>
            </c:dLbl>
            <c:dLbl>
              <c:idx val="1"/>
              <c:layout>
                <c:manualLayout>
                  <c:x val="-0.10351497798312412"/>
                  <c:y val="-0.10829103214890039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886-4CF5-B5A2-4AB353FEA0CA}"/>
                </c:ext>
              </c:extLst>
            </c:dLbl>
            <c:dLbl>
              <c:idx val="2"/>
              <c:layout>
                <c:manualLayout>
                  <c:x val="-7.460263334851748E-2"/>
                  <c:y val="-9.1045472107865091E-3"/>
                </c:manualLayout>
              </c:layout>
              <c:spPr>
                <a:noFill/>
                <a:ln w="25410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5-B886-4CF5-B5A2-4AB353FEA0CA}"/>
                </c:ext>
              </c:extLst>
            </c:dLbl>
            <c:dLbl>
              <c:idx val="3"/>
              <c:layout>
                <c:manualLayout>
                  <c:x val="-7.4418168803279811E-2"/>
                  <c:y val="-0.164682308112501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886-4CF5-B5A2-4AB353FEA0CA}"/>
                </c:ext>
              </c:extLst>
            </c:dLbl>
            <c:spPr>
              <a:noFill/>
              <a:ln w="2541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9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20</c:v>
                </c:pt>
                <c:pt idx="1">
                  <c:v>21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886-4CF5-B5A2-4AB353FEA0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10">
          <a:noFill/>
        </a:ln>
      </c:spPr>
    </c:plotArea>
    <c:plotVisOnly val="1"/>
    <c:dispBlanksAs val="zero"/>
    <c:showDLblsOverMax val="0"/>
  </c:chart>
  <c:spPr>
    <a:solidFill>
      <a:schemeClr val="bg1"/>
    </a:solidFill>
    <a:ln w="9529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7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 w="25353">
          <a:noFill/>
        </a:ln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 w="25353">
              <a:noFill/>
            </a:ln>
          </c:spPr>
          <c:invertIfNegative val="0"/>
          <c:dLbls>
            <c:spPr>
              <a:noFill/>
              <a:ln w="25353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8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9</c:v>
                </c:pt>
                <c:pt idx="2">
                  <c:v>7</c:v>
                </c:pt>
                <c:pt idx="3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6A-4815-A9DD-BA69FDB115B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 w="25353">
              <a:noFill/>
            </a:ln>
          </c:spPr>
          <c:invertIfNegative val="0"/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16A-4815-A9DD-BA69FDB115BC}"/>
                </c:ext>
              </c:extLst>
            </c:dLbl>
            <c:spPr>
              <a:noFill/>
              <a:ln w="25353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8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16A-4815-A9DD-BA69FDB115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8983680"/>
        <c:axId val="139206656"/>
      </c:barChart>
      <c:catAx>
        <c:axId val="138983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07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8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9206656"/>
        <c:crosses val="autoZero"/>
        <c:auto val="1"/>
        <c:lblAlgn val="ctr"/>
        <c:lblOffset val="100"/>
        <c:noMultiLvlLbl val="0"/>
      </c:catAx>
      <c:valAx>
        <c:axId val="139206656"/>
        <c:scaling>
          <c:orientation val="minMax"/>
        </c:scaling>
        <c:delete val="0"/>
        <c:axPos val="b"/>
        <c:majorGridlines>
          <c:spPr>
            <a:ln w="9507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07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8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8983680"/>
        <c:crosses val="autoZero"/>
        <c:crossBetween val="between"/>
      </c:valAx>
      <c:spPr>
        <a:noFill/>
        <a:ln w="25353">
          <a:noFill/>
        </a:ln>
      </c:spPr>
    </c:plotArea>
    <c:legend>
      <c:legendPos val="b"/>
      <c:overlay val="0"/>
      <c:spPr>
        <a:noFill/>
        <a:ln w="25353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8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0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1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 w="25413">
          <a:noFill/>
        </a:ln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9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0EC-4C78-B97A-A82ED3A91575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59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0EC-4C78-B97A-A82ED3A91575}"/>
              </c:ext>
            </c:extLst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0EC-4C78-B97A-A82ED3A91575}"/>
                </c:ext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0EC-4C78-B97A-A82ED3A91575}"/>
                </c:ext>
              </c:extLst>
            </c:dLbl>
            <c:spPr>
              <a:noFill/>
              <a:ln w="25413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30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0EC-4C78-B97A-A82ED3A9157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13">
          <a:noFill/>
        </a:ln>
      </c:spPr>
    </c:plotArea>
    <c:legend>
      <c:legendPos val="b"/>
      <c:overlay val="0"/>
      <c:spPr>
        <a:noFill/>
        <a:ln w="25413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30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7.9456136430358565E-2"/>
          <c:y val="5.9547693524610798E-3"/>
        </c:manualLayout>
      </c:layout>
      <c:overlay val="0"/>
      <c:spPr>
        <a:noFill/>
        <a:ln w="25389">
          <a:noFill/>
        </a:ln>
      </c:spPr>
      <c:txPr>
        <a:bodyPr rot="0" spcFirstLastPara="1" vertOverflow="ellipsis" vert="horz" wrap="square" anchor="ctr" anchorCtr="1"/>
        <a:lstStyle/>
        <a:p>
          <a:pPr>
            <a:defRPr sz="1399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38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F54-4549-A32B-EDF3C72702C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38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F54-4549-A32B-EDF3C72702C3}"/>
              </c:ext>
            </c:extLst>
          </c:dPt>
          <c:dLbls>
            <c:dLbl>
              <c:idx val="0"/>
              <c:layout>
                <c:manualLayout>
                  <c:x val="6.872515155979711E-2"/>
                  <c:y val="-5.0950977099427745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F54-4549-A32B-EDF3C72702C3}"/>
                </c:ext>
              </c:extLst>
            </c:dLbl>
            <c:dLbl>
              <c:idx val="1"/>
              <c:layout>
                <c:manualLayout>
                  <c:x val="-9.7456943756156461E-2"/>
                  <c:y val="-4.6030015478834445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F54-4549-A32B-EDF3C72702C3}"/>
                </c:ext>
              </c:extLst>
            </c:dLbl>
            <c:spPr>
              <a:noFill/>
              <a:ln w="2538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1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Пассажиры</c:v>
                </c:pt>
                <c:pt idx="1">
                  <c:v>Пешеходы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</c:v>
                </c:pt>
                <c:pt idx="1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F54-4549-A32B-EDF3C72702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89">
          <a:noFill/>
        </a:ln>
      </c:spPr>
    </c:plotArea>
    <c:plotVisOnly val="1"/>
    <c:dispBlanksAs val="zero"/>
    <c:showDLblsOverMax val="0"/>
  </c:chart>
  <c:spPr>
    <a:solidFill>
      <a:schemeClr val="bg1"/>
    </a:solidFill>
    <a:ln w="9521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overlay val="0"/>
      <c:spPr>
        <a:noFill/>
        <a:ln w="25392">
          <a:noFill/>
        </a:ln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15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702A-4361-A1EC-ED16E049AD83}"/>
              </c:ext>
            </c:extLst>
          </c:dPt>
          <c:dPt>
            <c:idx val="1"/>
            <c:bubble3D val="0"/>
            <c:explosion val="17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702A-4361-A1EC-ED16E049AD83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702A-4361-A1EC-ED16E049AD83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702A-4361-A1EC-ED16E049AD83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702A-4361-A1EC-ED16E049AD83}"/>
              </c:ext>
            </c:extLst>
          </c:dPt>
          <c:dLbls>
            <c:dLbl>
              <c:idx val="0"/>
              <c:layout>
                <c:manualLayout>
                  <c:x val="8.109573973901725E-2"/>
                  <c:y val="7.570099980277038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Заречный </a:t>
                    </a:r>
                    <a:fld id="{198B1789-6417-47A0-B448-A83ADA0E8574}" type="VALUE">
                      <a:rPr lang="en-US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[ЗНАЧЕНИЕ]</a:t>
                    </a:fld>
                    <a:r>
                      <a:rPr lang="en-US" baseline="0"/>
                      <a:t>[</a:t>
                    </a:r>
                  </a:p>
                </c:rich>
              </c:tx>
              <c:spPr>
                <a:noFill/>
                <a:ln w="25392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702A-4361-A1EC-ED16E049AD83}"/>
                </c:ext>
              </c:extLst>
            </c:dLbl>
            <c:dLbl>
              <c:idx val="1"/>
              <c:layout>
                <c:manualLayout>
                  <c:x val="5.1194539249146742E-2"/>
                  <c:y val="4.624277456647395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Туринск </a:t>
                    </a:r>
                    <a:fld id="{5440F57D-DB4B-47C6-844E-F575A3FC4058}" type="VALUE">
                      <a:rPr lang="en-US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[ЗНАЧЕНИЕ]</a:t>
                    </a:fld>
                    <a:r>
                      <a:rPr lang="en-US" baseline="0"/>
                      <a:t>[</a:t>
                    </a:r>
                  </a:p>
                </c:rich>
              </c:tx>
              <c:spPr>
                <a:noFill/>
                <a:ln w="25392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702A-4361-A1EC-ED16E049AD83}"/>
                </c:ext>
              </c:extLst>
            </c:dLbl>
            <c:dLbl>
              <c:idx val="2"/>
              <c:layout>
                <c:manualLayout>
                  <c:x val="2.4378352023403233E-2"/>
                  <c:y val="-4.346820809248554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0A7B893B-C297-4587-BE65-27F0186060C4}" type="CATEGORYNAME">
                      <a:rPr lang="ru-RU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[ИМЯ КАТЕГОРИИ]</a:t>
                    </a:fld>
                    <a:r>
                      <a:rPr lang="ru-RU"/>
                      <a:t>[И</a:t>
                    </a:r>
                    <a:r>
                      <a:rPr lang="ru-RU" baseline="0"/>
                      <a:t>М</a:t>
                    </a:r>
                  </a:p>
                </c:rich>
              </c:tx>
              <c:spPr>
                <a:noFill/>
                <a:ln w="25392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702A-4361-A1EC-ED16E049AD83}"/>
                </c:ext>
              </c:extLst>
            </c:dLbl>
            <c:dLbl>
              <c:idx val="3"/>
              <c:layout>
                <c:manualLayout>
                  <c:x val="-0.14383227693807887"/>
                  <c:y val="0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02A-4361-A1EC-ED16E049AD83}"/>
                </c:ext>
              </c:extLst>
            </c:dLbl>
            <c:spPr>
              <a:noFill/>
              <a:ln w="25392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2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Заречный</c:v>
                </c:pt>
                <c:pt idx="1">
                  <c:v>Туринск</c:v>
                </c:pt>
                <c:pt idx="2">
                  <c:v>Арти</c:v>
                </c:pt>
                <c:pt idx="3">
                  <c:v>Каменск-Уральский</c:v>
                </c:pt>
                <c:pt idx="4">
                  <c:v>Екатеринбург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02A-4361-A1EC-ED16E049AD83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 w="25392">
          <a:noFill/>
        </a:ln>
      </c:spPr>
    </c:plotArea>
    <c:plotVisOnly val="1"/>
    <c:dispBlanksAs val="zero"/>
    <c:showDLblsOverMax val="0"/>
  </c:chart>
  <c:spPr>
    <a:solidFill>
      <a:schemeClr val="bg1"/>
    </a:solidFill>
    <a:ln w="9522" cap="flat" cmpd="sng" algn="ctr">
      <a:solidFill>
        <a:schemeClr val="accent1">
          <a:alpha val="54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 w="25404">
          <a:noFill/>
        </a:ln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3">
              <a:solidFill>
                <a:schemeClr val="lt1"/>
              </a:solidFill>
            </a:ln>
            <a:effectLst/>
          </c:spPr>
          <c:invertIfNegative val="0"/>
          <c:dLbls>
            <c:dLbl>
              <c:idx val="1"/>
              <c:layout>
                <c:manualLayout>
                  <c:x val="7.5886542219605795E-3"/>
                  <c:y val="5.159078362437171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530-419E-986D-0DC1F4FDE5D1}"/>
                </c:ext>
              </c:extLst>
            </c:dLbl>
            <c:spPr>
              <a:noFill/>
              <a:ln w="2540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Лист1!$A$2:$A$15</c:f>
              <c:strCache>
                <c:ptCount val="14"/>
                <c:pt idx="0">
                  <c:v>Качканарский</c:v>
                </c:pt>
                <c:pt idx="1">
                  <c:v>Сысертский</c:v>
                </c:pt>
                <c:pt idx="2">
                  <c:v>Серовский</c:v>
                </c:pt>
                <c:pt idx="3">
                  <c:v>Ревдинский</c:v>
                </c:pt>
                <c:pt idx="4">
                  <c:v>Пышминский</c:v>
                </c:pt>
                <c:pt idx="5">
                  <c:v>Невьянский</c:v>
                </c:pt>
                <c:pt idx="6">
                  <c:v>Краснотурьинский</c:v>
                </c:pt>
                <c:pt idx="7">
                  <c:v>Ивдельский</c:v>
                </c:pt>
                <c:pt idx="8">
                  <c:v>Березовский</c:v>
                </c:pt>
                <c:pt idx="9">
                  <c:v>Артинский</c:v>
                </c:pt>
                <c:pt idx="10">
                  <c:v>Заречный</c:v>
                </c:pt>
                <c:pt idx="11">
                  <c:v>Туринский</c:v>
                </c:pt>
                <c:pt idx="12">
                  <c:v>Каменск-Уральский</c:v>
                </c:pt>
                <c:pt idx="13">
                  <c:v>Екатеринбург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2</c:v>
                </c:pt>
                <c:pt idx="13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530-419E-986D-0DC1F4FDE5D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4"/>
            </a:solidFill>
            <a:ln w="19053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 w="2540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Лист1!$A$2:$A$15</c:f>
              <c:strCache>
                <c:ptCount val="14"/>
                <c:pt idx="0">
                  <c:v>Качканарский</c:v>
                </c:pt>
                <c:pt idx="1">
                  <c:v>Сысертский</c:v>
                </c:pt>
                <c:pt idx="2">
                  <c:v>Серовский</c:v>
                </c:pt>
                <c:pt idx="3">
                  <c:v>Ревдинский</c:v>
                </c:pt>
                <c:pt idx="4">
                  <c:v>Пышминский</c:v>
                </c:pt>
                <c:pt idx="5">
                  <c:v>Невьянский</c:v>
                </c:pt>
                <c:pt idx="6">
                  <c:v>Краснотурьинский</c:v>
                </c:pt>
                <c:pt idx="7">
                  <c:v>Ивдельский</c:v>
                </c:pt>
                <c:pt idx="8">
                  <c:v>Березовский</c:v>
                </c:pt>
                <c:pt idx="9">
                  <c:v>Артинский</c:v>
                </c:pt>
                <c:pt idx="10">
                  <c:v>Заречный</c:v>
                </c:pt>
                <c:pt idx="11">
                  <c:v>Туринский</c:v>
                </c:pt>
                <c:pt idx="12">
                  <c:v>Каменск-Уральский</c:v>
                </c:pt>
                <c:pt idx="13">
                  <c:v>Екатеринбург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2</c:v>
                </c:pt>
                <c:pt idx="11">
                  <c:v>2</c:v>
                </c:pt>
                <c:pt idx="12">
                  <c:v>5</c:v>
                </c:pt>
                <c:pt idx="13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530-419E-986D-0DC1F4FDE5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34223360"/>
        <c:axId val="134224896"/>
      </c:barChart>
      <c:catAx>
        <c:axId val="1342233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7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224896"/>
        <c:crosses val="autoZero"/>
        <c:auto val="1"/>
        <c:lblAlgn val="ctr"/>
        <c:lblOffset val="100"/>
        <c:noMultiLvlLbl val="0"/>
      </c:catAx>
      <c:valAx>
        <c:axId val="134224896"/>
        <c:scaling>
          <c:orientation val="minMax"/>
        </c:scaling>
        <c:delete val="0"/>
        <c:axPos val="b"/>
        <c:majorGridlines>
          <c:spPr>
            <a:ln w="9527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ln w="9527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223360"/>
        <c:crosses val="autoZero"/>
        <c:crossBetween val="between"/>
      </c:valAx>
      <c:spPr>
        <a:noFill/>
        <a:ln w="25404">
          <a:noFill/>
        </a:ln>
      </c:spPr>
    </c:plotArea>
    <c:legend>
      <c:legendPos val="b"/>
      <c:overlay val="0"/>
      <c:spPr>
        <a:noFill/>
        <a:ln w="25404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398">
          <a:noFill/>
        </a:ln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48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499-4081-9096-97520B48CCF8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48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499-4081-9096-97520B48CCF8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48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499-4081-9096-97520B48CCF8}"/>
              </c:ext>
            </c:extLst>
          </c:dPt>
          <c:dLbls>
            <c:dLbl>
              <c:idx val="0"/>
              <c:layout>
                <c:manualLayout>
                  <c:x val="2.7179187771869149E-2"/>
                  <c:y val="-7.566716322621840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499-4081-9096-97520B48CCF8}"/>
                </c:ext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499-4081-9096-97520B48CCF8}"/>
                </c:ext>
              </c:extLst>
            </c:dLbl>
            <c:dLbl>
              <c:idx val="2"/>
              <c:layout>
                <c:manualLayout>
                  <c:x val="-5.1499324107532711E-3"/>
                  <c:y val="-8.888936180274764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499-4081-9096-97520B48CCF8}"/>
                </c:ext>
              </c:extLst>
            </c:dLbl>
            <c:spPr>
              <a:noFill/>
              <a:ln w="25398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4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</c:v>
                </c:pt>
                <c:pt idx="1">
                  <c:v>17</c:v>
                </c:pt>
                <c:pt idx="2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499-4081-9096-97520B48CCF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98">
          <a:noFill/>
        </a:ln>
      </c:spPr>
    </c:plotArea>
    <c:legend>
      <c:legendPos val="b"/>
      <c:overlay val="0"/>
      <c:spPr>
        <a:noFill/>
        <a:ln w="25398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4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1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1"/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 w="25419">
          <a:noFill/>
        </a:ln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64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820-4EC5-B49D-C30957032410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64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820-4EC5-B49D-C30957032410}"/>
              </c:ext>
            </c:extLst>
          </c:dPt>
          <c:dLbls>
            <c:dLbl>
              <c:idx val="0"/>
              <c:layout>
                <c:manualLayout>
                  <c:x val="2.7179187771869149E-2"/>
                  <c:y val="-7.566716322621840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820-4EC5-B49D-C30957032410}"/>
                </c:ext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820-4EC5-B49D-C30957032410}"/>
                </c:ext>
              </c:extLst>
            </c:dLbl>
            <c:spPr>
              <a:noFill/>
              <a:ln w="2541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1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32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26</c:v>
                </c:pt>
                <c:pt idx="1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820-4EC5-B49D-C3095703241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19">
          <a:noFill/>
        </a:ln>
      </c:spPr>
    </c:plotArea>
    <c:legend>
      <c:legendPos val="b"/>
      <c:overlay val="0"/>
      <c:spPr>
        <a:noFill/>
        <a:ln w="25419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1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32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 w="25404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F79646"/>
            </a:solidFill>
            <a:ln w="25404">
              <a:noFill/>
            </a:ln>
          </c:spPr>
          <c:invertIfNegative val="0"/>
          <c:dLbls>
            <c:spPr>
              <a:noFill/>
              <a:ln w="2540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18</c:v>
                </c:pt>
                <c:pt idx="1">
                  <c:v>18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A2-40EF-A227-59E2F24DD20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BACC6"/>
            </a:solidFill>
            <a:ln w="25404">
              <a:noFill/>
            </a:ln>
          </c:spPr>
          <c:invertIfNegative val="0"/>
          <c:dLbls>
            <c:spPr>
              <a:noFill/>
              <a:ln w="2540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18</c:v>
                </c:pt>
                <c:pt idx="1">
                  <c:v>21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AA2-40EF-A227-59E2F24DD20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 w="25404">
              <a:noFill/>
            </a:ln>
          </c:spPr>
          <c:invertIfNegative val="0"/>
          <c:dLbls>
            <c:spPr>
              <a:noFill/>
              <a:ln w="2540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AA2-40EF-A227-59E2F24DD20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34452736"/>
        <c:axId val="134454272"/>
      </c:barChart>
      <c:catAx>
        <c:axId val="134452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6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454272"/>
        <c:crosses val="autoZero"/>
        <c:auto val="1"/>
        <c:lblAlgn val="ctr"/>
        <c:lblOffset val="100"/>
        <c:noMultiLvlLbl val="0"/>
      </c:catAx>
      <c:valAx>
        <c:axId val="134454272"/>
        <c:scaling>
          <c:orientation val="minMax"/>
        </c:scaling>
        <c:delete val="0"/>
        <c:axPos val="l"/>
        <c:majorGridlines>
          <c:spPr>
            <a:ln w="9526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6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452736"/>
        <c:crosses val="autoZero"/>
        <c:crossBetween val="between"/>
      </c:valAx>
      <c:spPr>
        <a:noFill/>
        <a:ln w="25404">
          <a:noFill/>
        </a:ln>
      </c:spPr>
    </c:plotArea>
    <c:legend>
      <c:legendPos val="b"/>
      <c:overlay val="0"/>
      <c:spPr>
        <a:noFill/>
        <a:ln w="25404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6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 w="25409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F79646"/>
            </a:solidFill>
            <a:ln w="25409">
              <a:noFill/>
            </a:ln>
          </c:spPr>
          <c:invertIfNegative val="0"/>
          <c:dLbls>
            <c:spPr>
              <a:noFill/>
              <a:ln w="2540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5</c:v>
                </c:pt>
                <c:pt idx="2">
                  <c:v>3</c:v>
                </c:pt>
                <c:pt idx="3">
                  <c:v>11</c:v>
                </c:pt>
                <c:pt idx="4">
                  <c:v>15</c:v>
                </c:pt>
                <c:pt idx="5">
                  <c:v>9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86-4622-82DE-E8230686EFE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BACC6"/>
            </a:solidFill>
            <a:ln w="25409">
              <a:noFill/>
            </a:ln>
          </c:spPr>
          <c:invertIfNegative val="0"/>
          <c:dLbls>
            <c:spPr>
              <a:noFill/>
              <a:ln w="2540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0</c:v>
                </c:pt>
                <c:pt idx="1">
                  <c:v>5</c:v>
                </c:pt>
                <c:pt idx="2">
                  <c:v>2</c:v>
                </c:pt>
                <c:pt idx="3">
                  <c:v>15</c:v>
                </c:pt>
                <c:pt idx="4">
                  <c:v>15</c:v>
                </c:pt>
                <c:pt idx="5">
                  <c:v>11</c:v>
                </c:pt>
                <c:pt idx="6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486-4622-82DE-E8230686EFE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 w="25409">
              <a:noFill/>
            </a:ln>
          </c:spPr>
          <c:invertIfNegative val="0"/>
          <c:dLbls>
            <c:spPr>
              <a:noFill/>
              <a:ln w="2540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486-4622-82DE-E8230686EFE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34694784"/>
        <c:axId val="134696320"/>
      </c:barChart>
      <c:catAx>
        <c:axId val="134694784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8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696320"/>
        <c:crosses val="autoZero"/>
        <c:auto val="1"/>
        <c:lblAlgn val="ctr"/>
        <c:lblOffset val="100"/>
        <c:tickLblSkip val="1"/>
        <c:noMultiLvlLbl val="0"/>
      </c:catAx>
      <c:valAx>
        <c:axId val="134696320"/>
        <c:scaling>
          <c:orientation val="minMax"/>
        </c:scaling>
        <c:delete val="0"/>
        <c:axPos val="l"/>
        <c:majorGridlines>
          <c:spPr>
            <a:ln w="9528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8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694784"/>
        <c:crosses val="autoZero"/>
        <c:crossBetween val="between"/>
      </c:valAx>
      <c:spPr>
        <a:noFill/>
        <a:ln w="25409">
          <a:noFill/>
        </a:ln>
      </c:spPr>
    </c:plotArea>
    <c:legend>
      <c:legendPos val="b"/>
      <c:overlay val="0"/>
      <c:spPr>
        <a:noFill/>
        <a:ln w="25409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8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 w="25401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4F81BD"/>
            </a:solidFill>
            <a:ln w="25401">
              <a:noFill/>
            </a:ln>
          </c:spPr>
          <c:invertIfNegative val="0"/>
          <c:dLbls>
            <c:spPr>
              <a:noFill/>
              <a:ln w="2540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7</c:v>
                </c:pt>
                <c:pt idx="1">
                  <c:v>7</c:v>
                </c:pt>
                <c:pt idx="2">
                  <c:v>4</c:v>
                </c:pt>
                <c:pt idx="3">
                  <c:v>3</c:v>
                </c:pt>
                <c:pt idx="4">
                  <c:v>6</c:v>
                </c:pt>
                <c:pt idx="5">
                  <c:v>8</c:v>
                </c:pt>
                <c:pt idx="6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DF-4C66-9AC2-55141A090E4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 w="25401">
              <a:noFill/>
            </a:ln>
          </c:spPr>
          <c:invertIfNegative val="0"/>
          <c:dLbls>
            <c:spPr>
              <a:noFill/>
              <a:ln w="2540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7</c:v>
                </c:pt>
                <c:pt idx="1">
                  <c:v>8</c:v>
                </c:pt>
                <c:pt idx="2">
                  <c:v>4</c:v>
                </c:pt>
                <c:pt idx="3">
                  <c:v>3</c:v>
                </c:pt>
                <c:pt idx="4">
                  <c:v>8</c:v>
                </c:pt>
                <c:pt idx="5">
                  <c:v>8</c:v>
                </c:pt>
                <c:pt idx="6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3DF-4C66-9AC2-55141A090E4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 w="25401">
              <a:noFill/>
            </a:ln>
          </c:spPr>
          <c:invertIfNegative val="0"/>
          <c:dLbls>
            <c:spPr>
              <a:noFill/>
              <a:ln w="2540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5">
                  <c:v>1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3DF-4C66-9AC2-55141A090E4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34535424"/>
        <c:axId val="138874880"/>
      </c:barChart>
      <c:catAx>
        <c:axId val="134535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8874880"/>
        <c:crosses val="autoZero"/>
        <c:auto val="1"/>
        <c:lblAlgn val="ctr"/>
        <c:lblOffset val="100"/>
        <c:noMultiLvlLbl val="0"/>
      </c:catAx>
      <c:valAx>
        <c:axId val="138874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535424"/>
        <c:crosses val="autoZero"/>
        <c:crossBetween val="between"/>
      </c:valAx>
      <c:spPr>
        <a:noFill/>
        <a:ln w="25401">
          <a:noFill/>
        </a:ln>
      </c:spPr>
    </c:plotArea>
    <c:legend>
      <c:legendPos val="b"/>
      <c:overlay val="0"/>
      <c:spPr>
        <a:noFill/>
        <a:ln w="25401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402">
          <a:noFill/>
        </a:ln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2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A20-46D6-9123-433171668D39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2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A20-46D6-9123-433171668D39}"/>
              </c:ext>
            </c:extLst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A20-46D6-9123-433171668D39}"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A20-46D6-9123-433171668D39}"/>
                </c:ext>
              </c:extLst>
            </c:dLbl>
            <c:spPr>
              <a:noFill/>
              <a:ln w="25402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</c:v>
                </c:pt>
                <c:pt idx="1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A20-46D6-9123-433171668D3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  <c:holeSize val="75"/>
      </c:doughnutChart>
      <c:spPr>
        <a:noFill/>
        <a:ln w="25402">
          <a:noFill/>
        </a:ln>
      </c:spPr>
    </c:plotArea>
    <c:legend>
      <c:legendPos val="b"/>
      <c:overlay val="0"/>
      <c:spPr>
        <a:noFill/>
        <a:ln w="25402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6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396">
          <a:noFill/>
        </a:ln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47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D5-4BC6-8037-EBC4AA272A3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47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D5-4BC6-8037-EBC4AA272A3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47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D5-4BC6-8037-EBC4AA272A3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47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D5-4BC6-8037-EBC4AA272A33}"/>
              </c:ext>
            </c:extLst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DD5-4BC6-8037-EBC4AA272A33}"/>
                </c:ext>
              </c:extLst>
            </c:dLbl>
            <c:dLbl>
              <c:idx val="1"/>
              <c:layout>
                <c:manualLayout>
                  <c:x val="-5.8486131444624792E-2"/>
                  <c:y val="-2.013235525046548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DD5-4BC6-8037-EBC4AA272A33}"/>
                </c:ext>
              </c:extLst>
            </c:dLbl>
            <c:dLbl>
              <c:idx val="2"/>
              <c:layout>
                <c:manualLayout>
                  <c:x val="-2.2714447126270049E-2"/>
                  <c:y val="-3.582295802768246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DD5-4BC6-8037-EBC4AA272A33}"/>
                </c:ext>
              </c:extLst>
            </c:dLbl>
            <c:dLbl>
              <c:idx val="3"/>
              <c:layout>
                <c:manualLayout>
                  <c:x val="-3.1698474876570085E-2"/>
                  <c:y val="-2.562436452200234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DD5-4BC6-8037-EBC4AA272A33}"/>
                </c:ext>
              </c:extLst>
            </c:dLbl>
            <c:spPr>
              <a:noFill/>
              <a:ln w="25396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4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</c:v>
                </c:pt>
                <c:pt idx="1">
                  <c:v>14</c:v>
                </c:pt>
                <c:pt idx="2">
                  <c:v>1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DD5-4BC6-8037-EBC4AA272A3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96">
          <a:noFill/>
        </a:ln>
      </c:spPr>
    </c:plotArea>
    <c:legend>
      <c:legendPos val="b"/>
      <c:overlay val="0"/>
      <c:spPr>
        <a:noFill/>
        <a:ln w="25396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4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Admin</cp:lastModifiedBy>
  <cp:revision>27</cp:revision>
  <cp:lastPrinted>2021-04-07T04:41:00Z</cp:lastPrinted>
  <dcterms:created xsi:type="dcterms:W3CDTF">2019-06-18T11:00:00Z</dcterms:created>
  <dcterms:modified xsi:type="dcterms:W3CDTF">2021-04-08T06:38:00Z</dcterms:modified>
</cp:coreProperties>
</file>