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3A" w:rsidRDefault="00EE343A" w:rsidP="00EE34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>к письму от «___</w:t>
      </w:r>
      <w:r w:rsidR="00F0386B">
        <w:rPr>
          <w:rFonts w:ascii="Times New Roman" w:eastAsia="Times New Roman" w:hAnsi="Times New Roman" w:cs="Times New Roman"/>
          <w:i/>
          <w:sz w:val="24"/>
          <w:szCs w:val="24"/>
        </w:rPr>
        <w:t>»___________202</w:t>
      </w:r>
      <w:r w:rsidR="00EE343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 № ____</w:t>
      </w:r>
    </w:p>
    <w:p w:rsidR="00F27C2A" w:rsidRDefault="00F27C2A" w:rsidP="00F27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2618FA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о состоянии детского дорожно-транспортного травматизма на территории оперативного обслуживания </w:t>
      </w:r>
    </w:p>
    <w:p w:rsidR="00F0386B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>ОГИБД</w:t>
      </w:r>
      <w:r w:rsidR="00F0386B">
        <w:rPr>
          <w:rFonts w:ascii="Times New Roman" w:hAnsi="Times New Roman"/>
          <w:b/>
          <w:sz w:val="28"/>
          <w:szCs w:val="28"/>
        </w:rPr>
        <w:t xml:space="preserve">Д МО МВД России «Заречный» </w:t>
      </w:r>
    </w:p>
    <w:p w:rsidR="00D70B8D" w:rsidRPr="00D70B8D" w:rsidRDefault="002618FA" w:rsidP="00D70B8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за  </w:t>
      </w:r>
      <w:r w:rsidR="00385C1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 месяца 2021</w:t>
      </w:r>
      <w:r w:rsidR="00F27C2A" w:rsidRPr="00600EC9">
        <w:rPr>
          <w:rFonts w:ascii="Times New Roman" w:hAnsi="Times New Roman"/>
          <w:b/>
          <w:sz w:val="28"/>
          <w:szCs w:val="28"/>
        </w:rPr>
        <w:t xml:space="preserve"> год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EE343A" w:rsidRDefault="00EE343A" w:rsidP="00EE34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3 месяца 2021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3 ДТП (0; +200%). 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территории Белоярского городского округа за 3 месяца 2021 года с участием детей до 16 лет зарегистрировано 1 ДТП (1), в котором пострадал 1 ребенок.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городского округа Заречный за 3 месяца 2021 года с участием детей до 16 лет зарегистрировано 2 ДТП (0; + 200%), в которых 2 ребенка погибли и 1 ребенок получил травмы. </w:t>
      </w: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18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городского округа Верхнее Дуброво за 3 месяца 2021 года ДТП не  зарегистрировано (0). </w:t>
      </w: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 дорожно-транспортного травматизма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Свердловской области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2618FA">
        <w:rPr>
          <w:rFonts w:ascii="Times New Roman" w:eastAsia="Times New Roman" w:hAnsi="Times New Roman" w:cs="Times New Roman"/>
          <w:b/>
          <w:sz w:val="28"/>
          <w:szCs w:val="28"/>
        </w:rPr>
        <w:t>месяца 2021 года</w:t>
      </w:r>
    </w:p>
    <w:p w:rsidR="002618FA" w:rsidRPr="002618FA" w:rsidRDefault="002618FA" w:rsidP="002618FA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8FA" w:rsidRPr="002618FA" w:rsidRDefault="002618FA" w:rsidP="002618FA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2667" distL="114300" distR="114300" simplePos="0" relativeHeight="251660288" behindDoc="1" locked="0" layoutInCell="1" allowOverlap="1">
            <wp:simplePos x="0" y="0"/>
            <wp:positionH relativeFrom="margin">
              <wp:posOffset>-654050</wp:posOffset>
            </wp:positionH>
            <wp:positionV relativeFrom="paragraph">
              <wp:posOffset>216535</wp:posOffset>
            </wp:positionV>
            <wp:extent cx="3176270" cy="2889250"/>
            <wp:effectExtent l="0" t="0" r="1905" b="0"/>
            <wp:wrapTight wrapText="bothSides">
              <wp:wrapPolygon edited="0">
                <wp:start x="0" y="0"/>
                <wp:lineTo x="0" y="21529"/>
                <wp:lineTo x="21488" y="21529"/>
                <wp:lineTo x="21488" y="0"/>
                <wp:lineTo x="0" y="0"/>
              </wp:wrapPolygon>
            </wp:wrapTight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два месяца 2021 г. зарегистрировано 45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(44; +2,3%) ДТП с участием несовершеннолетних, в которых 51 (54;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-5,6%) детей получили травмы различной степени тяжести и 3(0; +100%) погибли.</w:t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Дорожно-транспортные происшествия, в результате которых пострадали дети, составили 8% от общего количества учетных дорожных аварий. Таким образом, дети стали участниками каждого 11 ДТП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с пострадавшими в регионе.</w:t>
      </w:r>
    </w:p>
    <w:p w:rsidR="002618FA" w:rsidRPr="002618FA" w:rsidRDefault="002618FA" w:rsidP="002618FA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ДТП с погибшими детьми зарегистрированы в Каменске-Уральском (+100%) и </w:t>
      </w:r>
      <w:proofErr w:type="spellStart"/>
      <w:r w:rsidRPr="002618FA">
        <w:rPr>
          <w:rFonts w:ascii="Times New Roman" w:eastAsia="Times New Roman" w:hAnsi="Times New Roman" w:cs="Times New Roman"/>
          <w:sz w:val="28"/>
          <w:szCs w:val="28"/>
        </w:rPr>
        <w:t>Ивделе</w:t>
      </w:r>
      <w:proofErr w:type="spellEnd"/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 (+100%):</w:t>
      </w:r>
    </w:p>
    <w:p w:rsidR="002618FA" w:rsidRPr="002618FA" w:rsidRDefault="002618FA" w:rsidP="002618FA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02.01.2021 года около 15 часов в 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Каменском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городском округе, с. </w:t>
      </w:r>
      <w:proofErr w:type="spellStart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Рыбниковское</w:t>
      </w:r>
      <w:proofErr w:type="spellEnd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lastRenderedPageBreak/>
        <w:t xml:space="preserve">направо по ходу движения 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автомобиля. </w:t>
      </w: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От полученных травм мальчик скончался на месте происшествия. 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Погибший находился в сопровождении 14-летней сестры</w:t>
      </w:r>
      <w:r w:rsidRPr="002618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и еще троих</w:t>
      </w:r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</w:t>
      </w:r>
      <w:proofErr w:type="spellStart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>Световозвращающие</w:t>
      </w:r>
      <w:proofErr w:type="spellEnd"/>
      <w:r w:rsidRPr="002618FA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элементы на одежде детей отсутствовали.</w:t>
      </w:r>
    </w:p>
    <w:p w:rsidR="002618FA" w:rsidRPr="002618FA" w:rsidRDefault="002618FA" w:rsidP="002618FA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07.02.2021 года около 10.00 часов в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Ивдельском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районе на 116 км автодороги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Ивдель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-ХМАО водитель автомобиля «Тойота 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ЛендКрузер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», при совершении обгона не убедился в безопасности маневра, не учел метеорологические условия (метель), допустил столкновение с автомобилем «</w:t>
      </w:r>
      <w:proofErr w:type="spellStart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Сид», который двигался во встречном направлении. </w:t>
      </w:r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В результате ДТП погибла 8 –летняя девочка, пассажир автомобиля «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Сид», которая находилась на заднем пассажирском сидении. Ее 10 летняя сестра, которая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Югорска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в Екатеринбург на отдых. Водитель «</w:t>
      </w:r>
      <w:proofErr w:type="spellStart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>Киа</w:t>
      </w:r>
      <w:proofErr w:type="spellEnd"/>
      <w:r w:rsidRPr="002618FA">
        <w:rPr>
          <w:rFonts w:ascii="Times New Roman" w:eastAsia="Times New Roman" w:hAnsi="Times New Roman" w:cs="Times New Roman"/>
          <w:i/>
          <w:sz w:val="27"/>
          <w:szCs w:val="27"/>
        </w:rPr>
        <w:t xml:space="preserve"> Сид», отец девочек, скончался на 12 сутки после ДТП, не приходя в сознание.</w:t>
      </w:r>
    </w:p>
    <w:p w:rsidR="002618FA" w:rsidRPr="002618FA" w:rsidRDefault="002618FA" w:rsidP="002618F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В 14 муниципальных образованиях Свердловской области отмечается рост аварийности с участием несовершеннолетних. На 150%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увеличилось количество ДТП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Каменске-</w:t>
      </w:r>
      <w:proofErr w:type="gram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Уральском(</w:t>
      </w:r>
      <w:proofErr w:type="gram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5 ДТП); на 100% в Заречном, Туринске (по 2 ДТП),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Березовском,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Ивделе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Краснотурьинске, Невьянске,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р.п.Пышма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, Ревде, Серове, Сысерти, Качканаре (по 1 ДТП); на 25% в Екатеринбурге (20 ДТП).</w:t>
      </w:r>
    </w:p>
    <w:p w:rsidR="002618FA" w:rsidRPr="002618FA" w:rsidRDefault="002618FA" w:rsidP="002618FA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34100" cy="3495675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40% (21) пострадавших в ДТП детей приходится на среднее школьное звено, 31% (17) на начальную школу и 29% (16) на дошкольный возраст, при этом большая часть из них пострадала в качестве пассажиров транспортных средств.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 случаев ДТП с пострадавшими детьми-пассажирами произошли по причине нарушения ПДД РФ водителем, в чьем автомобиле находились дети.</w:t>
      </w: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48000" cy="2257425"/>
            <wp:effectExtent l="0" t="0" r="0" b="0"/>
            <wp:docPr id="1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38475" cy="2257425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На 3% (36) произошло снижение количества числа ДТП по причине нарушения ПДД РФ водителями автотранспортных средств, на 8,5% (43) раненых в них детей. При этом с погибшими детьми выросло на 100 % (2).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86500" cy="166687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55% ДТП (27)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38875" cy="1838325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70% (35) происшествий с участием несовершеннолетних произошли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(15 ДТП, 15 ранены,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 погиб),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сопровождения взрослых. Дорожные аварии с погибшими детьми зарегистрированы в выходные дни.</w:t>
      </w: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42887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0" name="Рисунок 20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8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 участием </w:t>
      </w:r>
      <w:r w:rsidRPr="002618FA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зарегистрировано 24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(28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; -17,2%) ДТП, в которых пострадал31 (37; -18,4%) ребенок и 2 (0; +100%) погибли. Из них в возрасте до 12 лет травмированы 18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(28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; -25%).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Доля ДТП с участием детей - пассажиров от общего показателя аварийности с участием детей составила 47%.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33850" cy="200025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При анализе ДТП, в которых пострадали дети-пассажиры, установлено2нарушения водителями правил перевозки детей, в которых травмированы 4 ребенка </w:t>
      </w:r>
      <w:r w:rsidRPr="002618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(3;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+33,3%):Екатеринбург и Ревда по – 1.Двух детей перевозили на заднем пассажирском сидении в детских удерживающих устройствах, не соответствующих росту и весу юных пассажиров, еще двоих детей перевозили без детских удерживающих устройств и не пристегнутыми ремнями безопасности.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05475" cy="223837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месту расположения в транспортном средстве большая часть пострадавших приходится на заднее пассажирское сидение справа и слева (по 14).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происшествий, в которых пострадали дети-пассажиры- это столкновения транспортных средств (28; -28%), количество травмированных в них детей снизилось на 30% (26), при этом количество погибших увеличилось на 100% (2).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рост количества ДТП с участием детей-пассажиров зарегистрирован с 12.00 до 21.00 (17 ДТП и 24 ранены), с максимальными значениями аварийности в период с 12.00 до 15.00 (9 ДТП, 13 ранены). Большинство аварий произошло в воскресенье (7 ДТП, 10 ранены, 2 погибли) и в понедельник (4 ДТП, 4 ранены).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81675" cy="188595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35 ДТП (+17%), в которых пострадали 38 (+12%) детей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1 погиб (+100%). Увеличение количества ДТП в населенных пунктах произошло в Екатеринбурге – 20 (+25%); Каменске-Уральском – 5(+100%); Туринске – 2 (+100%);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Березовском, Заречном, Серове и Пригородном районе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Н.Тагила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(+100%). На автомобильных дорогах вне населенных пунктов зарегистрировано 10 ДТП (-28,6%), травмированы 13 (-35%) детей и 2 погибли (+100%). Из них, на дорогах федерального значения зарегистрировано 5 ДТП (+150%), в которых пострадали 9 детей (+200%). На автомобильных дорогах регионального значения произошло9 ДТП (-31%), в которых 7 (-61%) детей получили травмы различной степени тяжести и 3 погибли (+100%). На дорогах местного значения зарегистрировано 25 ДТП (- 7,4%), в которых травмированы 29 (-6,5%) детей.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95975" cy="24955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9" name="Рисунок 19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2618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21ДТП (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13;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+40%), в которых пострадали 20 (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14;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t>+25%) детей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>и 1 погиб (+100%). От общего показателя аварийности с участием несовершеннолетних доля ДТП с участием детей- пешеходов составила 53%.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На 14% (8) увеличилось количество ДТП по собственной неосторожности несовершеннолетних пешеходов, в которых пострадали 7несовершеннолетних (уровень АППГ) и 1 ребенок погиб.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 xml:space="preserve">Каждый третий наезд на ребенка (7 ДТП) совершен на нерегулируемом пешеходном переходе. В таких происшествиях травмированы 7 юных </w:t>
      </w:r>
      <w:r w:rsidRPr="002618FA">
        <w:rPr>
          <w:rFonts w:ascii="Times New Roman" w:eastAsia="Times New Roman" w:hAnsi="Times New Roman" w:cs="Times New Roman"/>
          <w:sz w:val="28"/>
          <w:szCs w:val="28"/>
        </w:rPr>
        <w:br/>
        <w:t xml:space="preserve">пешеходов (-22%). </w:t>
      </w:r>
    </w:p>
    <w:p w:rsidR="002618FA" w:rsidRPr="002618FA" w:rsidRDefault="002618FA" w:rsidP="002618F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57800" cy="17049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66% (5) увеличилось количество происшествий с детьми- пешеходами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каждого второго происшествия (52%; 11) стали дети-пешеходы в возрасте 9-11 лет. Все наезды произошли в городах и населенных пунктах. Наибольшие показатели количества ДТП с участием детей-пешеходов зафиксированы в субботу (5 ДТП), при этом 1 ребенок погиб. Наименьшее количество наездов зарегистрированы в воскресенье и среду (по 2 ДТП).  По времени совершения самым опасным является с 16 до 19 часов (13 ДТП; 61%) с максимальными значениями в период с 16 до 18 часов (10 ДТП). Растет количество наездов и в период с 07 до 09 часов (4 ДТП), когда дети идут в школу. Минимальное количество ДТП по времени совершения произошло в период с 9 до 14 часов (1 ДТП) и с 19.00 до 07.00 (1 ДТП).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12 случаях ДТП (57%) произошли по маршрутам следования детей из дома в образовательную организацию и обратно. Данные участки входят в паспорта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2618FA" w:rsidRPr="002618FA" w:rsidRDefault="002618FA" w:rsidP="002618F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19775" cy="14954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2,3% и снижение количества раненых детей на 5,6%. При этом количество погибших выросло на 100%. 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8 ДТП из 45 и составляет 15% от общего количества дорожных аварий с участием детей: Екатеринбург 3 (-40%),Каменск-Уральский 2 (1 погиб; +100%), Арти, Туринск, Заречный по 1 (+100%). Основными нарушениями ПДД РФ, допущенными юными пешеходами, стали переход проезжей части в неустановленном месте (5), неожиданный выход на проезжую </w:t>
      </w:r>
      <w:r w:rsidRPr="002618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часть из-за стоящего транспортного средства (2) и нахождение на дороге без цели перехода (1).</w:t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29225" cy="16573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618FA" w:rsidRPr="002618FA" w:rsidRDefault="002618FA" w:rsidP="002618FA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2618FA" w:rsidRPr="002618FA" w:rsidRDefault="002618FA" w:rsidP="002618F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8FA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2618FA" w:rsidRPr="002618FA" w:rsidRDefault="002618FA" w:rsidP="002618F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618FA" w:rsidRPr="002618FA" w:rsidRDefault="002618FA" w:rsidP="002618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27C2A" w:rsidRPr="0071126E" w:rsidRDefault="00F27C2A" w:rsidP="00C72F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18FA"/>
    <w:rsid w:val="00262166"/>
    <w:rsid w:val="002701C8"/>
    <w:rsid w:val="003470B1"/>
    <w:rsid w:val="00385C1C"/>
    <w:rsid w:val="004F1C5C"/>
    <w:rsid w:val="00523109"/>
    <w:rsid w:val="005306E2"/>
    <w:rsid w:val="005556FA"/>
    <w:rsid w:val="005F39A6"/>
    <w:rsid w:val="00600EC9"/>
    <w:rsid w:val="0071126E"/>
    <w:rsid w:val="00784A42"/>
    <w:rsid w:val="008B27D1"/>
    <w:rsid w:val="008D2F1D"/>
    <w:rsid w:val="00934953"/>
    <w:rsid w:val="00944EAD"/>
    <w:rsid w:val="00A245F8"/>
    <w:rsid w:val="00B11BCC"/>
    <w:rsid w:val="00B350A0"/>
    <w:rsid w:val="00BD1AEE"/>
    <w:rsid w:val="00C712C6"/>
    <w:rsid w:val="00C72FEC"/>
    <w:rsid w:val="00D70B8D"/>
    <w:rsid w:val="00DB1449"/>
    <w:rsid w:val="00DD1890"/>
    <w:rsid w:val="00EE343A"/>
    <w:rsid w:val="00F0386B"/>
    <w:rsid w:val="00F27C2A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C1FE"/>
  <w15:docId w15:val="{24338131-E191-45F9-9AEA-6D3F004F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8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5513">
              <a:noFill/>
            </a:ln>
          </c:spPr>
          <c:invertIfNegative val="0"/>
          <c:dLbls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F2-4769-B29D-F39BF3B4A0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5513">
              <a:noFill/>
            </a:ln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F2-4769-B29D-F39BF3B4A0D3}"/>
                </c:ext>
              </c:extLst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F2-4769-B29D-F39BF3B4A0D3}"/>
                </c:ext>
              </c:extLst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F2-4769-B29D-F39BF3B4A0D3}"/>
                </c:ext>
              </c:extLst>
            </c:dLbl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F2-4769-B29D-F39BF3B4A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300096"/>
        <c:axId val="125301888"/>
        <c:axId val="0"/>
      </c:bar3DChart>
      <c:catAx>
        <c:axId val="1253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01888"/>
        <c:crosses val="autoZero"/>
        <c:auto val="1"/>
        <c:lblAlgn val="ctr"/>
        <c:lblOffset val="100"/>
        <c:noMultiLvlLbl val="0"/>
      </c:catAx>
      <c:valAx>
        <c:axId val="125301888"/>
        <c:scaling>
          <c:orientation val="minMax"/>
        </c:scaling>
        <c:delete val="0"/>
        <c:axPos val="l"/>
        <c:majorGridlines>
          <c:spPr>
            <a:ln w="95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00096"/>
        <c:crosses val="autoZero"/>
        <c:crossBetween val="between"/>
      </c:valAx>
      <c:spPr>
        <a:noFill/>
        <a:ln w="25513">
          <a:noFill/>
        </a:ln>
      </c:spPr>
    </c:plotArea>
    <c:legend>
      <c:legendPos val="b"/>
      <c:overlay val="0"/>
      <c:spPr>
        <a:noFill/>
        <a:ln w="255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4701250586"/>
          <c:y val="4.5430684800763536E-3"/>
        </c:manualLayout>
      </c:layout>
      <c:overlay val="0"/>
      <c:spPr>
        <a:noFill/>
        <a:ln w="25410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886-4CF5-B5A2-4AB353FEA0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886-4CF5-B5A2-4AB353FEA0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886-4CF5-B5A2-4AB353FEA0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886-4CF5-B5A2-4AB353FEA0C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886-4CF5-B5A2-4AB353FEA0CA}"/>
              </c:ext>
            </c:extLst>
          </c:dPt>
          <c:dLbls>
            <c:dLbl>
              <c:idx val="0"/>
              <c:layout>
                <c:manualLayout>
                  <c:x val="0.10782638120648154"/>
                  <c:y val="-6.16955114113273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86-4CF5-B5A2-4AB353FEA0CA}"/>
                </c:ext>
              </c:extLst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86-4CF5-B5A2-4AB353FEA0CA}"/>
                </c:ext>
              </c:extLst>
            </c:dLbl>
            <c:dLbl>
              <c:idx val="2"/>
              <c:layout>
                <c:manualLayout>
                  <c:x val="-7.460263334851748E-2"/>
                  <c:y val="-9.1045472107865091E-3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886-4CF5-B5A2-4AB353FEA0CA}"/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86-4CF5-B5A2-4AB353FEA0CA}"/>
                </c:ext>
              </c:extLst>
            </c:dLbl>
            <c:spPr>
              <a:noFill/>
              <a:ln w="254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86-4CF5-B5A2-4AB353FEA0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53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53">
              <a:noFill/>
            </a:ln>
          </c:spPr>
          <c:invertIfNegative val="0"/>
          <c:dLbls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6A-4815-A9DD-BA69FDB115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53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6A-4815-A9DD-BA69FDB115BC}"/>
                </c:ext>
              </c:extLst>
            </c:dLbl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6A-4815-A9DD-BA69FDB11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983680"/>
        <c:axId val="139206656"/>
      </c:barChart>
      <c:catAx>
        <c:axId val="13898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0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06656"/>
        <c:crosses val="autoZero"/>
        <c:auto val="1"/>
        <c:lblAlgn val="ctr"/>
        <c:lblOffset val="100"/>
        <c:noMultiLvlLbl val="0"/>
      </c:catAx>
      <c:valAx>
        <c:axId val="139206656"/>
        <c:scaling>
          <c:orientation val="minMax"/>
        </c:scaling>
        <c:delete val="0"/>
        <c:axPos val="b"/>
        <c:majorGridlines>
          <c:spPr>
            <a:ln w="950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0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983680"/>
        <c:crosses val="autoZero"/>
        <c:crossBetween val="between"/>
      </c:valAx>
      <c:spPr>
        <a:noFill/>
        <a:ln w="25353">
          <a:noFill/>
        </a:ln>
      </c:spPr>
    </c:plotArea>
    <c:legend>
      <c:legendPos val="b"/>
      <c:overlay val="0"/>
      <c:spPr>
        <a:noFill/>
        <a:ln w="2535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 w="25413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EC-4C78-B97A-A82ED3A91575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9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EC-4C78-B97A-A82ED3A91575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EC-4C78-B97A-A82ED3A91575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EC-4C78-B97A-A82ED3A91575}"/>
                </c:ext>
              </c:extLst>
            </c:dLbl>
            <c:spPr>
              <a:noFill/>
              <a:ln w="254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EC-4C78-B97A-A82ED3A915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3">
          <a:noFill/>
        </a:ln>
      </c:spPr>
    </c:plotArea>
    <c:legend>
      <c:legendPos val="b"/>
      <c:overlay val="0"/>
      <c:spPr>
        <a:noFill/>
        <a:ln w="254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65E-2"/>
          <c:y val="5.9547693524610798E-3"/>
        </c:manualLayout>
      </c:layout>
      <c:overlay val="0"/>
      <c:spPr>
        <a:noFill/>
        <a:ln w="2538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54-4549-A32B-EDF3C72702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54-4549-A32B-EDF3C72702C3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54-4549-A32B-EDF3C72702C3}"/>
                </c:ext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54-4549-A32B-EDF3C72702C3}"/>
                </c:ext>
              </c:extLst>
            </c:dLbl>
            <c:spPr>
              <a:noFill/>
              <a:ln w="2538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54-4549-A32B-EDF3C7270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 w="25392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02A-4361-A1EC-ED16E049AD83}"/>
              </c:ext>
            </c:extLst>
          </c:dPt>
          <c:dPt>
            <c:idx val="1"/>
            <c:bubble3D val="0"/>
            <c:explosion val="17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02A-4361-A1EC-ED16E049AD8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02A-4361-A1EC-ED16E049AD8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02A-4361-A1EC-ED16E049AD8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02A-4361-A1EC-ED16E049AD83}"/>
              </c:ext>
            </c:extLst>
          </c:dPt>
          <c:dLbls>
            <c:dLbl>
              <c:idx val="0"/>
              <c:layout>
                <c:manualLayout>
                  <c:x val="8.109573973901725E-2"/>
                  <c:y val="7.57009998027703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02A-4361-A1EC-ED16E049AD83}"/>
                </c:ext>
              </c:extLst>
            </c:dLbl>
            <c:dLbl>
              <c:idx val="1"/>
              <c:layout>
                <c:manualLayout>
                  <c:x val="5.1194539249146742E-2"/>
                  <c:y val="4.62427745664739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02A-4361-A1EC-ED16E049AD83}"/>
                </c:ext>
              </c:extLst>
            </c:dLbl>
            <c:dLbl>
              <c:idx val="2"/>
              <c:layout>
                <c:manualLayout>
                  <c:x val="2.4378352023403233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[И</a:t>
                    </a:r>
                    <a:r>
                      <a:rPr lang="ru-RU" baseline="0"/>
                      <a:t>М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02A-4361-A1EC-ED16E049AD83}"/>
                </c:ext>
              </c:extLst>
            </c:dLbl>
            <c:dLbl>
              <c:idx val="3"/>
              <c:layout>
                <c:manualLayout>
                  <c:x val="-0.14383227693807887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2A-4361-A1EC-ED16E049AD83}"/>
                </c:ext>
              </c:extLst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2A-4361-A1EC-ED16E049AD8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2">
          <a:noFill/>
        </a:ln>
      </c:spPr>
    </c:plotArea>
    <c:plotVisOnly val="1"/>
    <c:dispBlanksAs val="zero"/>
    <c:showDLblsOverMax val="0"/>
  </c:chart>
  <c:spPr>
    <a:solidFill>
      <a:schemeClr val="bg1"/>
    </a:solidFill>
    <a:ln w="9522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30-419E-986D-0DC1F4FDE5D1}"/>
                </c:ext>
              </c:extLst>
            </c:dLbl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30-419E-986D-0DC1F4FDE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30-419E-986D-0DC1F4FDE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4223360"/>
        <c:axId val="134224896"/>
      </c:barChart>
      <c:catAx>
        <c:axId val="134223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4896"/>
        <c:crosses val="autoZero"/>
        <c:auto val="1"/>
        <c:lblAlgn val="ctr"/>
        <c:lblOffset val="100"/>
        <c:noMultiLvlLbl val="0"/>
      </c:catAx>
      <c:valAx>
        <c:axId val="134224896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23360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99-4081-9096-97520B48CCF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99-4081-9096-97520B48CCF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99-4081-9096-97520B48CCF8}"/>
              </c:ext>
            </c:extLst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99-4081-9096-97520B48CCF8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99-4081-9096-97520B48CCF8}"/>
                </c:ext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99-4081-9096-97520B48CCF8}"/>
                </c:ext>
              </c:extLst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499-4081-9096-97520B48CC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20-4EC5-B49D-C30957032410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20-4EC5-B49D-C30957032410}"/>
              </c:ext>
            </c:extLst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20-4EC5-B49D-C30957032410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20-4EC5-B49D-C30957032410}"/>
                </c:ext>
              </c:extLst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20-4EC5-B49D-C309570324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2-40EF-A227-59E2F24DD2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A2-40EF-A227-59E2F24DD2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A2-40EF-A227-59E2F24DD2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452736"/>
        <c:axId val="134454272"/>
      </c:barChart>
      <c:catAx>
        <c:axId val="1344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54272"/>
        <c:crosses val="autoZero"/>
        <c:auto val="1"/>
        <c:lblAlgn val="ctr"/>
        <c:lblOffset val="100"/>
        <c:noMultiLvlLbl val="0"/>
      </c:catAx>
      <c:valAx>
        <c:axId val="134454272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52736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6-4622-82DE-E8230686EF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86-4622-82DE-E8230686EF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86-4622-82DE-E8230686EF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694784"/>
        <c:axId val="134696320"/>
      </c:barChart>
      <c:catAx>
        <c:axId val="1346947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96320"/>
        <c:crosses val="autoZero"/>
        <c:auto val="1"/>
        <c:lblAlgn val="ctr"/>
        <c:lblOffset val="100"/>
        <c:tickLblSkip val="1"/>
        <c:noMultiLvlLbl val="0"/>
      </c:catAx>
      <c:valAx>
        <c:axId val="134696320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94784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DF-4C66-9AC2-55141A090E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DF-4C66-9AC2-55141A090E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DF-4C66-9AC2-55141A090E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34535424"/>
        <c:axId val="138874880"/>
      </c:barChart>
      <c:catAx>
        <c:axId val="13453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874880"/>
        <c:crosses val="autoZero"/>
        <c:auto val="1"/>
        <c:lblAlgn val="ctr"/>
        <c:lblOffset val="100"/>
        <c:noMultiLvlLbl val="0"/>
      </c:catAx>
      <c:valAx>
        <c:axId val="13887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35424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20-46D6-9123-433171668D3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20-46D6-9123-433171668D39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20-46D6-9123-433171668D39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20-46D6-9123-433171668D39}"/>
                </c:ext>
              </c:extLst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20-46D6-9123-433171668D3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7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D5-4BC6-8037-EBC4AA272A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47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D5-4BC6-8037-EBC4AA272A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47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D5-4BC6-8037-EBC4AA272A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47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D5-4BC6-8037-EBC4AA272A33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D5-4BC6-8037-EBC4AA272A33}"/>
                </c:ext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5-4BC6-8037-EBC4AA272A33}"/>
                </c:ext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D5-4BC6-8037-EBC4AA272A33}"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D5-4BC6-8037-EBC4AA272A33}"/>
                </c:ext>
              </c:extLst>
            </c:dLbl>
            <c:spPr>
              <a:noFill/>
              <a:ln w="2539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D5-4BC6-8037-EBC4AA272A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6">
          <a:noFill/>
        </a:ln>
      </c:spPr>
    </c:plotArea>
    <c:legend>
      <c:legendPos val="b"/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27</cp:revision>
  <cp:lastPrinted>2021-04-07T04:41:00Z</cp:lastPrinted>
  <dcterms:created xsi:type="dcterms:W3CDTF">2019-06-18T11:00:00Z</dcterms:created>
  <dcterms:modified xsi:type="dcterms:W3CDTF">2021-04-08T06:38:00Z</dcterms:modified>
</cp:coreProperties>
</file>